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B11F3" w14:textId="5B37805E" w:rsidR="003D798A" w:rsidRDefault="003D798A" w:rsidP="002F0E6D">
      <w:pPr>
        <w:jc w:val="center"/>
        <w:rPr>
          <w:rFonts w:asciiTheme="majorHAnsi" w:hAnsiTheme="majorHAnsi" w:cstheme="majorHAnsi"/>
          <w:b/>
          <w:sz w:val="21"/>
          <w:szCs w:val="21"/>
        </w:rPr>
      </w:pPr>
      <w:r w:rsidRPr="005F3086">
        <w:rPr>
          <w:rFonts w:ascii="Calibri" w:hAnsi="Calibri" w:cs="Calibri"/>
          <w:noProof/>
          <w:sz w:val="20"/>
          <w:szCs w:val="20"/>
          <w:lang w:eastAsia="en-NZ"/>
        </w:rPr>
        <w:drawing>
          <wp:inline distT="0" distB="0" distL="0" distR="0" wp14:anchorId="7B44821E" wp14:editId="19A3BB4E">
            <wp:extent cx="3182239" cy="1057910"/>
            <wp:effectExtent l="0" t="0" r="0" b="8890"/>
            <wp:docPr id="2" name="Picture 2" descr="gastro-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astro-logo"/>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2753" cy="1064730"/>
                    </a:xfrm>
                    <a:prstGeom prst="rect">
                      <a:avLst/>
                    </a:prstGeom>
                    <a:noFill/>
                    <a:ln>
                      <a:noFill/>
                    </a:ln>
                  </pic:spPr>
                </pic:pic>
              </a:graphicData>
            </a:graphic>
          </wp:inline>
        </w:drawing>
      </w:r>
    </w:p>
    <w:p w14:paraId="53B03C59" w14:textId="77777777" w:rsidR="003D798A" w:rsidRDefault="003D798A" w:rsidP="002F0E6D">
      <w:pPr>
        <w:jc w:val="center"/>
        <w:rPr>
          <w:rFonts w:asciiTheme="majorHAnsi" w:hAnsiTheme="majorHAnsi" w:cstheme="majorHAnsi"/>
          <w:b/>
          <w:sz w:val="21"/>
          <w:szCs w:val="21"/>
        </w:rPr>
      </w:pPr>
    </w:p>
    <w:p w14:paraId="6F9250ED" w14:textId="77777777" w:rsidR="003D798A" w:rsidRDefault="003D798A" w:rsidP="002F0E6D">
      <w:pPr>
        <w:jc w:val="center"/>
        <w:rPr>
          <w:rFonts w:asciiTheme="majorHAnsi" w:hAnsiTheme="majorHAnsi" w:cstheme="majorHAnsi"/>
          <w:b/>
          <w:sz w:val="21"/>
          <w:szCs w:val="21"/>
        </w:rPr>
      </w:pPr>
    </w:p>
    <w:p w14:paraId="5D63992A" w14:textId="2B081174" w:rsidR="00EF0344" w:rsidRDefault="00EF0344" w:rsidP="002F0E6D">
      <w:pPr>
        <w:jc w:val="center"/>
        <w:rPr>
          <w:rFonts w:asciiTheme="majorHAnsi" w:hAnsiTheme="majorHAnsi" w:cstheme="majorHAnsi"/>
          <w:b/>
          <w:sz w:val="21"/>
          <w:szCs w:val="21"/>
        </w:rPr>
      </w:pPr>
      <w:r w:rsidRPr="009962DB">
        <w:rPr>
          <w:rFonts w:asciiTheme="majorHAnsi" w:hAnsiTheme="majorHAnsi" w:cstheme="majorHAnsi"/>
          <w:b/>
          <w:sz w:val="21"/>
          <w:szCs w:val="21"/>
        </w:rPr>
        <w:t>NZ SOCIETY OF GASTROENTEROLOGY POSITION STATEMENT ON SARS-CoV-2 VACCINATION</w:t>
      </w:r>
      <w:r w:rsidR="002B3E6A">
        <w:rPr>
          <w:rFonts w:asciiTheme="majorHAnsi" w:hAnsiTheme="majorHAnsi" w:cstheme="majorHAnsi"/>
          <w:b/>
          <w:sz w:val="21"/>
          <w:szCs w:val="21"/>
        </w:rPr>
        <w:t xml:space="preserve"> IN PATIENTS WITH INFLAMMATORY BOWEL DISEASE</w:t>
      </w:r>
    </w:p>
    <w:p w14:paraId="69DC83FA" w14:textId="7265FD0B" w:rsidR="009E4507" w:rsidRDefault="009E4507" w:rsidP="003D315D">
      <w:pPr>
        <w:rPr>
          <w:rFonts w:asciiTheme="majorHAnsi" w:hAnsiTheme="majorHAnsi" w:cstheme="majorHAnsi"/>
          <w:b/>
          <w:sz w:val="21"/>
          <w:szCs w:val="21"/>
        </w:rPr>
      </w:pPr>
    </w:p>
    <w:p w14:paraId="4DA9938B" w14:textId="26C0BE85" w:rsidR="00485D22" w:rsidRDefault="00485D22" w:rsidP="003D315D">
      <w:pPr>
        <w:rPr>
          <w:rFonts w:asciiTheme="majorHAnsi" w:hAnsiTheme="majorHAnsi" w:cstheme="majorHAnsi"/>
          <w:b/>
          <w:sz w:val="21"/>
          <w:szCs w:val="21"/>
        </w:rPr>
      </w:pPr>
      <w:r>
        <w:rPr>
          <w:rFonts w:asciiTheme="majorHAnsi" w:hAnsiTheme="majorHAnsi" w:cstheme="majorHAnsi"/>
          <w:b/>
          <w:sz w:val="21"/>
          <w:szCs w:val="21"/>
        </w:rPr>
        <w:t>Dr Samantha Benson-Pope</w:t>
      </w:r>
      <w:r w:rsidRPr="000953C8">
        <w:rPr>
          <w:rFonts w:asciiTheme="majorHAnsi" w:hAnsiTheme="majorHAnsi" w:cstheme="majorHAnsi"/>
          <w:bCs/>
          <w:sz w:val="21"/>
          <w:szCs w:val="21"/>
        </w:rPr>
        <w:t>, Advanced Trainee in Gastroenterology, Southern District Health Board</w:t>
      </w:r>
    </w:p>
    <w:p w14:paraId="4C11CB03" w14:textId="221B7538" w:rsidR="00485D22" w:rsidRDefault="00485D22" w:rsidP="003D315D">
      <w:pPr>
        <w:rPr>
          <w:rFonts w:asciiTheme="majorHAnsi" w:hAnsiTheme="majorHAnsi" w:cstheme="majorHAnsi"/>
          <w:b/>
          <w:sz w:val="21"/>
          <w:szCs w:val="21"/>
        </w:rPr>
      </w:pPr>
      <w:r>
        <w:rPr>
          <w:rFonts w:asciiTheme="majorHAnsi" w:hAnsiTheme="majorHAnsi" w:cstheme="majorHAnsi"/>
          <w:b/>
          <w:sz w:val="21"/>
          <w:szCs w:val="21"/>
        </w:rPr>
        <w:t>Professor Sarah Hook</w:t>
      </w:r>
      <w:r w:rsidRPr="000953C8">
        <w:rPr>
          <w:rFonts w:asciiTheme="majorHAnsi" w:hAnsiTheme="majorHAnsi" w:cstheme="majorHAnsi"/>
          <w:bCs/>
          <w:sz w:val="21"/>
          <w:szCs w:val="21"/>
        </w:rPr>
        <w:t>, Immunologist, School of Pharmacy, University of Otago</w:t>
      </w:r>
    </w:p>
    <w:p w14:paraId="126CA0D7" w14:textId="47EDD752" w:rsidR="00485D22" w:rsidRPr="009962DB" w:rsidRDefault="00485D22" w:rsidP="003D315D">
      <w:pPr>
        <w:rPr>
          <w:rFonts w:asciiTheme="majorHAnsi" w:hAnsiTheme="majorHAnsi" w:cstheme="majorHAnsi"/>
          <w:b/>
          <w:sz w:val="21"/>
          <w:szCs w:val="21"/>
        </w:rPr>
      </w:pPr>
      <w:r>
        <w:rPr>
          <w:rFonts w:asciiTheme="majorHAnsi" w:hAnsiTheme="majorHAnsi" w:cstheme="majorHAnsi"/>
          <w:b/>
          <w:sz w:val="21"/>
          <w:szCs w:val="21"/>
        </w:rPr>
        <w:t>Professor Michael Schultz</w:t>
      </w:r>
      <w:r w:rsidRPr="000953C8">
        <w:rPr>
          <w:rFonts w:asciiTheme="majorHAnsi" w:hAnsiTheme="majorHAnsi" w:cstheme="majorHAnsi"/>
          <w:bCs/>
          <w:sz w:val="21"/>
          <w:szCs w:val="21"/>
        </w:rPr>
        <w:t>, Gastroenterologist, University of Otago</w:t>
      </w:r>
    </w:p>
    <w:p w14:paraId="50F7C93B" w14:textId="74F57F07" w:rsidR="00D46EDF" w:rsidRDefault="00D46EDF" w:rsidP="00D46EDF">
      <w:pPr>
        <w:rPr>
          <w:rFonts w:asciiTheme="majorHAnsi" w:hAnsiTheme="majorHAnsi" w:cstheme="majorHAnsi"/>
          <w:sz w:val="21"/>
          <w:szCs w:val="21"/>
        </w:rPr>
      </w:pPr>
    </w:p>
    <w:p w14:paraId="091716DF" w14:textId="55D52F12" w:rsidR="000953C8" w:rsidRDefault="000953C8" w:rsidP="00D46EDF">
      <w:pPr>
        <w:rPr>
          <w:rFonts w:asciiTheme="majorHAnsi" w:hAnsiTheme="majorHAnsi" w:cstheme="majorHAnsi"/>
          <w:sz w:val="21"/>
          <w:szCs w:val="21"/>
        </w:rPr>
      </w:pPr>
    </w:p>
    <w:p w14:paraId="6E7B9902" w14:textId="77777777" w:rsidR="000953C8" w:rsidRPr="009962DB" w:rsidRDefault="000953C8" w:rsidP="00D46EDF">
      <w:pPr>
        <w:rPr>
          <w:rFonts w:asciiTheme="majorHAnsi" w:hAnsiTheme="majorHAnsi" w:cstheme="majorHAnsi"/>
          <w:sz w:val="21"/>
          <w:szCs w:val="21"/>
        </w:rPr>
      </w:pPr>
    </w:p>
    <w:p w14:paraId="4CEFC8A1" w14:textId="0281E96D" w:rsidR="00D46EDF" w:rsidRDefault="00D46EDF" w:rsidP="00D46EDF">
      <w:pPr>
        <w:rPr>
          <w:rFonts w:asciiTheme="majorHAnsi" w:hAnsiTheme="majorHAnsi" w:cstheme="majorHAnsi"/>
          <w:b/>
          <w:sz w:val="21"/>
          <w:szCs w:val="21"/>
        </w:rPr>
      </w:pPr>
      <w:r w:rsidRPr="009962DB">
        <w:rPr>
          <w:rFonts w:asciiTheme="majorHAnsi" w:hAnsiTheme="majorHAnsi" w:cstheme="majorHAnsi"/>
          <w:b/>
          <w:sz w:val="21"/>
          <w:szCs w:val="21"/>
        </w:rPr>
        <w:t>Key Points:</w:t>
      </w:r>
    </w:p>
    <w:p w14:paraId="4CE4A262" w14:textId="77777777" w:rsidR="00966084" w:rsidRPr="009962DB" w:rsidRDefault="00966084" w:rsidP="00D46EDF">
      <w:pPr>
        <w:rPr>
          <w:rFonts w:asciiTheme="majorHAnsi" w:hAnsiTheme="majorHAnsi" w:cstheme="majorHAnsi"/>
          <w:b/>
          <w:sz w:val="21"/>
          <w:szCs w:val="21"/>
        </w:rPr>
      </w:pPr>
    </w:p>
    <w:p w14:paraId="2FDEAA4D" w14:textId="77777777" w:rsidR="009745C4" w:rsidRPr="009962DB" w:rsidRDefault="009745C4" w:rsidP="00D46EDF">
      <w:pPr>
        <w:rPr>
          <w:rFonts w:asciiTheme="majorHAnsi" w:hAnsiTheme="majorHAnsi" w:cstheme="majorHAnsi"/>
          <w:b/>
          <w:sz w:val="21"/>
          <w:szCs w:val="21"/>
        </w:rPr>
      </w:pPr>
    </w:p>
    <w:p w14:paraId="25F0AD6B" w14:textId="77777777" w:rsidR="00D46EDF" w:rsidRPr="009962DB" w:rsidRDefault="00D46EDF" w:rsidP="00D46EDF">
      <w:pPr>
        <w:pStyle w:val="ListParagraph"/>
        <w:numPr>
          <w:ilvl w:val="0"/>
          <w:numId w:val="2"/>
        </w:numPr>
        <w:spacing w:after="0"/>
        <w:rPr>
          <w:rFonts w:asciiTheme="majorHAnsi" w:hAnsiTheme="majorHAnsi" w:cstheme="majorHAnsi"/>
          <w:sz w:val="21"/>
          <w:szCs w:val="21"/>
        </w:rPr>
      </w:pPr>
      <w:r w:rsidRPr="009962DB">
        <w:rPr>
          <w:rFonts w:asciiTheme="majorHAnsi" w:hAnsiTheme="majorHAnsi" w:cstheme="majorHAnsi"/>
          <w:sz w:val="21"/>
          <w:szCs w:val="21"/>
        </w:rPr>
        <w:t xml:space="preserve">We recommend that </w:t>
      </w:r>
      <w:r w:rsidR="00C37659" w:rsidRPr="009962DB">
        <w:rPr>
          <w:rFonts w:asciiTheme="majorHAnsi" w:hAnsiTheme="majorHAnsi" w:cstheme="majorHAnsi"/>
          <w:sz w:val="21"/>
          <w:szCs w:val="21"/>
        </w:rPr>
        <w:t>patients with IBD</w:t>
      </w:r>
      <w:r w:rsidRPr="009962DB">
        <w:rPr>
          <w:rFonts w:asciiTheme="majorHAnsi" w:hAnsiTheme="majorHAnsi" w:cstheme="majorHAnsi"/>
          <w:sz w:val="21"/>
          <w:szCs w:val="21"/>
        </w:rPr>
        <w:t xml:space="preserve"> are vaccinated for SARS-CoV2</w:t>
      </w:r>
    </w:p>
    <w:p w14:paraId="1D39AF0D" w14:textId="77777777" w:rsidR="00CB32E4" w:rsidRPr="009962DB" w:rsidRDefault="00CB32E4" w:rsidP="00CB32E4">
      <w:pPr>
        <w:pStyle w:val="ListParagraph"/>
        <w:numPr>
          <w:ilvl w:val="0"/>
          <w:numId w:val="2"/>
        </w:numPr>
        <w:spacing w:after="0"/>
        <w:rPr>
          <w:rFonts w:asciiTheme="majorHAnsi" w:hAnsiTheme="majorHAnsi" w:cstheme="majorHAnsi"/>
          <w:sz w:val="21"/>
          <w:szCs w:val="21"/>
        </w:rPr>
      </w:pPr>
      <w:r w:rsidRPr="009962DB">
        <w:rPr>
          <w:rFonts w:asciiTheme="majorHAnsi" w:hAnsiTheme="majorHAnsi" w:cstheme="majorHAnsi"/>
          <w:sz w:val="21"/>
          <w:szCs w:val="21"/>
        </w:rPr>
        <w:t xml:space="preserve">We recommend that </w:t>
      </w:r>
      <w:r w:rsidR="00C37659" w:rsidRPr="009962DB">
        <w:rPr>
          <w:rFonts w:asciiTheme="majorHAnsi" w:hAnsiTheme="majorHAnsi" w:cstheme="majorHAnsi"/>
          <w:sz w:val="21"/>
          <w:szCs w:val="21"/>
        </w:rPr>
        <w:t>patients with IBD</w:t>
      </w:r>
      <w:r w:rsidRPr="009962DB">
        <w:rPr>
          <w:rFonts w:asciiTheme="majorHAnsi" w:hAnsiTheme="majorHAnsi" w:cstheme="majorHAnsi"/>
          <w:sz w:val="21"/>
          <w:szCs w:val="21"/>
        </w:rPr>
        <w:t xml:space="preserve"> accept whichever approved SARS-CoV2 vaccination is offered to them. </w:t>
      </w:r>
    </w:p>
    <w:p w14:paraId="48FD3CA5" w14:textId="77777777" w:rsidR="00D46EDF" w:rsidRPr="009962DB" w:rsidRDefault="00D46EDF" w:rsidP="00D46EDF">
      <w:pPr>
        <w:pStyle w:val="ListParagraph"/>
        <w:numPr>
          <w:ilvl w:val="0"/>
          <w:numId w:val="2"/>
        </w:numPr>
        <w:spacing w:after="0"/>
        <w:rPr>
          <w:rFonts w:asciiTheme="majorHAnsi" w:hAnsiTheme="majorHAnsi" w:cstheme="majorHAnsi"/>
          <w:sz w:val="21"/>
          <w:szCs w:val="21"/>
        </w:rPr>
      </w:pPr>
      <w:r w:rsidRPr="009962DB">
        <w:rPr>
          <w:rFonts w:asciiTheme="majorHAnsi" w:hAnsiTheme="majorHAnsi" w:cstheme="majorHAnsi"/>
          <w:sz w:val="21"/>
          <w:szCs w:val="21"/>
        </w:rPr>
        <w:t xml:space="preserve">We recommend that patients </w:t>
      </w:r>
      <w:r w:rsidR="000063B8" w:rsidRPr="009962DB">
        <w:rPr>
          <w:rFonts w:asciiTheme="majorHAnsi" w:hAnsiTheme="majorHAnsi" w:cstheme="majorHAnsi"/>
          <w:sz w:val="21"/>
          <w:szCs w:val="21"/>
        </w:rPr>
        <w:t>with IBD continue their usual IBD</w:t>
      </w:r>
      <w:r w:rsidRPr="009962DB">
        <w:rPr>
          <w:rFonts w:asciiTheme="majorHAnsi" w:hAnsiTheme="majorHAnsi" w:cstheme="majorHAnsi"/>
          <w:sz w:val="21"/>
          <w:szCs w:val="21"/>
        </w:rPr>
        <w:t xml:space="preserve"> medications around the time of vaccination.</w:t>
      </w:r>
    </w:p>
    <w:p w14:paraId="360C6540" w14:textId="550CF20C" w:rsidR="00B36232" w:rsidRPr="009962DB" w:rsidRDefault="00B36232" w:rsidP="00D46EDF">
      <w:pPr>
        <w:pStyle w:val="ListParagraph"/>
        <w:numPr>
          <w:ilvl w:val="0"/>
          <w:numId w:val="2"/>
        </w:numPr>
        <w:spacing w:after="0"/>
        <w:rPr>
          <w:rFonts w:asciiTheme="majorHAnsi" w:hAnsiTheme="majorHAnsi" w:cstheme="majorHAnsi"/>
          <w:sz w:val="21"/>
          <w:szCs w:val="21"/>
        </w:rPr>
      </w:pPr>
      <w:r w:rsidRPr="009962DB">
        <w:rPr>
          <w:rFonts w:asciiTheme="majorHAnsi" w:hAnsiTheme="majorHAnsi" w:cstheme="majorHAnsi"/>
          <w:sz w:val="21"/>
          <w:szCs w:val="21"/>
        </w:rPr>
        <w:t>The risk</w:t>
      </w:r>
      <w:r w:rsidR="00776A1F">
        <w:rPr>
          <w:rFonts w:asciiTheme="majorHAnsi" w:hAnsiTheme="majorHAnsi" w:cstheme="majorHAnsi"/>
          <w:sz w:val="21"/>
          <w:szCs w:val="21"/>
        </w:rPr>
        <w:t xml:space="preserve">s associated with </w:t>
      </w:r>
      <w:r w:rsidRPr="009962DB">
        <w:rPr>
          <w:rFonts w:asciiTheme="majorHAnsi" w:hAnsiTheme="majorHAnsi" w:cstheme="majorHAnsi"/>
          <w:sz w:val="21"/>
          <w:szCs w:val="21"/>
        </w:rPr>
        <w:t>of SARs-CoV2 vaccination in patients with IBD is anticipated to be very low</w:t>
      </w:r>
      <w:r w:rsidR="00470713" w:rsidRPr="009962DB">
        <w:rPr>
          <w:rFonts w:asciiTheme="majorHAnsi" w:hAnsiTheme="majorHAnsi" w:cstheme="majorHAnsi"/>
          <w:sz w:val="21"/>
          <w:szCs w:val="21"/>
        </w:rPr>
        <w:t>.</w:t>
      </w:r>
    </w:p>
    <w:p w14:paraId="149523E4" w14:textId="5F392C5D" w:rsidR="00D47A7E" w:rsidRDefault="00D47A7E" w:rsidP="005141A3">
      <w:pPr>
        <w:rPr>
          <w:rFonts w:asciiTheme="majorHAnsi" w:hAnsiTheme="majorHAnsi" w:cstheme="majorHAnsi"/>
          <w:sz w:val="21"/>
          <w:szCs w:val="21"/>
        </w:rPr>
      </w:pPr>
    </w:p>
    <w:p w14:paraId="2F67C9E5" w14:textId="77777777" w:rsidR="00B948A0" w:rsidRPr="009962DB" w:rsidRDefault="00B948A0" w:rsidP="005141A3">
      <w:pPr>
        <w:rPr>
          <w:rFonts w:asciiTheme="majorHAnsi" w:hAnsiTheme="majorHAnsi" w:cstheme="majorHAnsi"/>
          <w:sz w:val="21"/>
          <w:szCs w:val="21"/>
        </w:rPr>
      </w:pPr>
    </w:p>
    <w:p w14:paraId="7628CE91" w14:textId="78B2B33F" w:rsidR="009F1F7A" w:rsidRDefault="009F1F7A" w:rsidP="00EA07C2">
      <w:pPr>
        <w:rPr>
          <w:rFonts w:asciiTheme="majorHAnsi" w:hAnsiTheme="majorHAnsi" w:cstheme="majorHAnsi"/>
          <w:b/>
          <w:bCs/>
          <w:sz w:val="21"/>
          <w:szCs w:val="21"/>
        </w:rPr>
      </w:pPr>
      <w:r w:rsidRPr="009962DB">
        <w:rPr>
          <w:rFonts w:asciiTheme="majorHAnsi" w:hAnsiTheme="majorHAnsi" w:cstheme="majorHAnsi"/>
          <w:b/>
          <w:bCs/>
          <w:sz w:val="21"/>
          <w:szCs w:val="21"/>
        </w:rPr>
        <w:t>Introduction:</w:t>
      </w:r>
    </w:p>
    <w:p w14:paraId="7A935DC9" w14:textId="77777777" w:rsidR="00966084" w:rsidRPr="009962DB" w:rsidRDefault="00966084" w:rsidP="00EA07C2">
      <w:pPr>
        <w:rPr>
          <w:rFonts w:asciiTheme="majorHAnsi" w:hAnsiTheme="majorHAnsi" w:cstheme="majorHAnsi"/>
          <w:b/>
          <w:bCs/>
          <w:sz w:val="21"/>
          <w:szCs w:val="21"/>
        </w:rPr>
      </w:pPr>
    </w:p>
    <w:p w14:paraId="60CD5135" w14:textId="77777777" w:rsidR="009745C4" w:rsidRPr="009962DB" w:rsidRDefault="009745C4" w:rsidP="00EA07C2">
      <w:pPr>
        <w:rPr>
          <w:rFonts w:asciiTheme="majorHAnsi" w:hAnsiTheme="majorHAnsi" w:cstheme="majorHAnsi"/>
          <w:b/>
          <w:bCs/>
          <w:sz w:val="21"/>
          <w:szCs w:val="21"/>
        </w:rPr>
      </w:pPr>
    </w:p>
    <w:p w14:paraId="388E9AED" w14:textId="330372FE" w:rsidR="006B648E" w:rsidRPr="009962DB" w:rsidRDefault="001963BE" w:rsidP="00EA07C2">
      <w:pPr>
        <w:rPr>
          <w:rFonts w:asciiTheme="majorHAnsi" w:hAnsiTheme="majorHAnsi" w:cstheme="majorHAnsi"/>
          <w:sz w:val="21"/>
          <w:szCs w:val="21"/>
        </w:rPr>
      </w:pPr>
      <w:r w:rsidRPr="009962DB">
        <w:rPr>
          <w:rFonts w:asciiTheme="majorHAnsi" w:hAnsiTheme="majorHAnsi" w:cstheme="majorHAnsi"/>
          <w:sz w:val="21"/>
          <w:szCs w:val="21"/>
        </w:rPr>
        <w:t>The C</w:t>
      </w:r>
      <w:r w:rsidR="00E40BA0">
        <w:rPr>
          <w:rFonts w:asciiTheme="majorHAnsi" w:hAnsiTheme="majorHAnsi" w:cstheme="majorHAnsi"/>
          <w:sz w:val="21"/>
          <w:szCs w:val="21"/>
        </w:rPr>
        <w:t>OVID</w:t>
      </w:r>
      <w:r w:rsidRPr="009962DB">
        <w:rPr>
          <w:rFonts w:asciiTheme="majorHAnsi" w:hAnsiTheme="majorHAnsi" w:cstheme="majorHAnsi"/>
          <w:sz w:val="21"/>
          <w:szCs w:val="21"/>
        </w:rPr>
        <w:t xml:space="preserve">-19 pandemic has </w:t>
      </w:r>
      <w:r w:rsidR="007C1344">
        <w:rPr>
          <w:rFonts w:asciiTheme="majorHAnsi" w:hAnsiTheme="majorHAnsi" w:cstheme="majorHAnsi"/>
          <w:sz w:val="21"/>
          <w:szCs w:val="21"/>
        </w:rPr>
        <w:t>resulted in</w:t>
      </w:r>
      <w:r w:rsidRPr="009962DB">
        <w:rPr>
          <w:rFonts w:asciiTheme="majorHAnsi" w:hAnsiTheme="majorHAnsi" w:cstheme="majorHAnsi"/>
          <w:sz w:val="21"/>
          <w:szCs w:val="21"/>
        </w:rPr>
        <w:t xml:space="preserve"> significant morbidity and mortality worldwide. </w:t>
      </w:r>
      <w:r w:rsidR="00002F9D" w:rsidRPr="009962DB">
        <w:rPr>
          <w:rFonts w:asciiTheme="majorHAnsi" w:hAnsiTheme="majorHAnsi" w:cstheme="majorHAnsi"/>
          <w:sz w:val="21"/>
          <w:szCs w:val="21"/>
        </w:rPr>
        <w:t xml:space="preserve">Since recognition of </w:t>
      </w:r>
      <w:r w:rsidR="00A275E6" w:rsidRPr="009962DB">
        <w:rPr>
          <w:rFonts w:asciiTheme="majorHAnsi" w:hAnsiTheme="majorHAnsi" w:cstheme="majorHAnsi"/>
          <w:sz w:val="21"/>
          <w:szCs w:val="21"/>
        </w:rPr>
        <w:t>the SARS-CoV2 virus</w:t>
      </w:r>
      <w:r w:rsidR="00002F9D" w:rsidRPr="009962DB">
        <w:rPr>
          <w:rFonts w:asciiTheme="majorHAnsi" w:hAnsiTheme="majorHAnsi" w:cstheme="majorHAnsi"/>
          <w:sz w:val="21"/>
          <w:szCs w:val="21"/>
        </w:rPr>
        <w:t xml:space="preserve">, there has been particular concern </w:t>
      </w:r>
      <w:r w:rsidR="007B1892" w:rsidRPr="009962DB">
        <w:rPr>
          <w:rFonts w:asciiTheme="majorHAnsi" w:hAnsiTheme="majorHAnsi" w:cstheme="majorHAnsi"/>
          <w:sz w:val="21"/>
          <w:szCs w:val="21"/>
        </w:rPr>
        <w:t>regarding the risks for</w:t>
      </w:r>
      <w:r w:rsidR="00002F9D" w:rsidRPr="009962DB">
        <w:rPr>
          <w:rFonts w:asciiTheme="majorHAnsi" w:hAnsiTheme="majorHAnsi" w:cstheme="majorHAnsi"/>
          <w:sz w:val="21"/>
          <w:szCs w:val="21"/>
        </w:rPr>
        <w:t xml:space="preserve"> immunosuppressed </w:t>
      </w:r>
      <w:r w:rsidR="005F7ED5" w:rsidRPr="009962DB">
        <w:rPr>
          <w:rFonts w:asciiTheme="majorHAnsi" w:hAnsiTheme="majorHAnsi" w:cstheme="majorHAnsi"/>
          <w:sz w:val="21"/>
          <w:szCs w:val="21"/>
        </w:rPr>
        <w:t>groups</w:t>
      </w:r>
      <w:r w:rsidR="00EE6B4A" w:rsidRPr="009962DB">
        <w:rPr>
          <w:rFonts w:asciiTheme="majorHAnsi" w:hAnsiTheme="majorHAnsi" w:cstheme="majorHAnsi"/>
          <w:sz w:val="21"/>
          <w:szCs w:val="21"/>
        </w:rPr>
        <w:t xml:space="preserve">, and as a result, demand for </w:t>
      </w:r>
      <w:r w:rsidR="00A275E6" w:rsidRPr="009962DB">
        <w:rPr>
          <w:rFonts w:asciiTheme="majorHAnsi" w:hAnsiTheme="majorHAnsi" w:cstheme="majorHAnsi"/>
          <w:sz w:val="21"/>
          <w:szCs w:val="21"/>
        </w:rPr>
        <w:t>timely research into the effect of this virus</w:t>
      </w:r>
      <w:r w:rsidR="005F7ED5" w:rsidRPr="009962DB">
        <w:rPr>
          <w:rFonts w:asciiTheme="majorHAnsi" w:hAnsiTheme="majorHAnsi" w:cstheme="majorHAnsi"/>
          <w:sz w:val="21"/>
          <w:szCs w:val="21"/>
        </w:rPr>
        <w:t xml:space="preserve"> on these potentially vulnerable populations.</w:t>
      </w:r>
      <w:r w:rsidR="0024767C" w:rsidRPr="009962DB">
        <w:rPr>
          <w:rFonts w:asciiTheme="majorHAnsi" w:hAnsiTheme="majorHAnsi" w:cstheme="majorHAnsi"/>
          <w:sz w:val="21"/>
          <w:szCs w:val="21"/>
        </w:rPr>
        <w:t xml:space="preserve"> </w:t>
      </w:r>
      <w:r w:rsidR="00781436" w:rsidRPr="009962DB">
        <w:rPr>
          <w:rFonts w:asciiTheme="majorHAnsi" w:hAnsiTheme="majorHAnsi" w:cstheme="majorHAnsi"/>
          <w:sz w:val="21"/>
          <w:szCs w:val="21"/>
        </w:rPr>
        <w:t xml:space="preserve">To date, </w:t>
      </w:r>
      <w:r w:rsidR="006B648E" w:rsidRPr="009962DB">
        <w:rPr>
          <w:rFonts w:asciiTheme="majorHAnsi" w:hAnsiTheme="majorHAnsi" w:cstheme="majorHAnsi"/>
          <w:i/>
          <w:sz w:val="21"/>
          <w:szCs w:val="21"/>
        </w:rPr>
        <w:t>Surveillance Epidemiology of Coronavirus Under Research Exclusion for Inflammatory Bowel disease (SECURE-IBD)</w:t>
      </w:r>
      <w:r w:rsidR="006B648E" w:rsidRPr="009962DB">
        <w:rPr>
          <w:rFonts w:asciiTheme="majorHAnsi" w:hAnsiTheme="majorHAnsi" w:cstheme="majorHAnsi"/>
          <w:sz w:val="21"/>
          <w:szCs w:val="21"/>
        </w:rPr>
        <w:t>, an international registry</w:t>
      </w:r>
      <w:r w:rsidR="00D17CCD">
        <w:rPr>
          <w:rFonts w:asciiTheme="majorHAnsi" w:hAnsiTheme="majorHAnsi" w:cstheme="majorHAnsi"/>
          <w:sz w:val="21"/>
          <w:szCs w:val="21"/>
        </w:rPr>
        <w:t xml:space="preserve"> with New Zealand participation,</w:t>
      </w:r>
      <w:r w:rsidR="006B648E" w:rsidRPr="009962DB">
        <w:rPr>
          <w:rFonts w:asciiTheme="majorHAnsi" w:hAnsiTheme="majorHAnsi" w:cstheme="majorHAnsi"/>
          <w:sz w:val="21"/>
          <w:szCs w:val="21"/>
        </w:rPr>
        <w:t xml:space="preserve"> created to monitor outcomes of IBD p</w:t>
      </w:r>
      <w:r w:rsidR="00781436" w:rsidRPr="009962DB">
        <w:rPr>
          <w:rFonts w:asciiTheme="majorHAnsi" w:hAnsiTheme="majorHAnsi" w:cstheme="majorHAnsi"/>
          <w:sz w:val="21"/>
          <w:szCs w:val="21"/>
        </w:rPr>
        <w:t xml:space="preserve">atients with confirmed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sidR="00781436" w:rsidRPr="009962DB">
        <w:rPr>
          <w:rFonts w:asciiTheme="majorHAnsi" w:hAnsiTheme="majorHAnsi" w:cstheme="majorHAnsi"/>
          <w:sz w:val="21"/>
          <w:szCs w:val="21"/>
        </w:rPr>
        <w:t>-19, has recorded over 5000 cases of coronavirus in patients with IBD worldwide.</w:t>
      </w:r>
      <w:r w:rsidR="004E1452" w:rsidRPr="009962DB">
        <w:rPr>
          <w:rFonts w:asciiTheme="majorHAnsi" w:hAnsiTheme="majorHAnsi" w:cstheme="majorHAnsi"/>
          <w:sz w:val="21"/>
          <w:szCs w:val="21"/>
        </w:rPr>
        <w:t xml:space="preserve"> </w:t>
      </w:r>
      <w:r w:rsidR="001032AB">
        <w:rPr>
          <w:rFonts w:asciiTheme="majorHAnsi" w:hAnsiTheme="majorHAnsi" w:cstheme="majorHAnsi"/>
          <w:sz w:val="21"/>
          <w:szCs w:val="21"/>
        </w:rPr>
        <w:fldChar w:fldCharType="begin"/>
      </w:r>
      <w:r w:rsidR="001032AB">
        <w:rPr>
          <w:rFonts w:asciiTheme="majorHAnsi" w:hAnsiTheme="majorHAnsi" w:cstheme="majorHAnsi"/>
          <w:sz w:val="21"/>
          <w:szCs w:val="21"/>
        </w:rPr>
        <w:instrText xml:space="preserve"> ADDIN ZOTERO_ITEM CSL_CITATION {"citationID":"jtEp7eiX","properties":{"formattedCitation":"(1)","plainCitation":"(1)","noteIndex":0},"citationItems":[{"id":3,"uris":["http://zotero.org/users/local/UFitRltR/items/N8FJHLWZ"],"uri":["http://zotero.org/users/local/UFitRltR/items/N8FJHLWZ"],"itemData":{"id":3,"type":"webpage","abstract":"Summary data includes: Cases Reported by Country, Cases Reported by State (U.S. Only), and Cases and Outcomes by Patient Characteristics (Age, Gender, IBD Disease Activity, Comorbidities, etc.) and more","container-title":"SECURE-IBD Database","language":"en-US","title":"Current Summary Data","URL":"https://covidibd.org/current-data/","accessed":{"date-parts":[["2021",2,20]]}}}],"schema":"https://github.com/citation-style-language/schema/raw/master/csl-citation.json"} </w:instrText>
      </w:r>
      <w:r w:rsidR="001032AB">
        <w:rPr>
          <w:rFonts w:asciiTheme="majorHAnsi" w:hAnsiTheme="majorHAnsi" w:cstheme="majorHAnsi"/>
          <w:sz w:val="21"/>
          <w:szCs w:val="21"/>
        </w:rPr>
        <w:fldChar w:fldCharType="separate"/>
      </w:r>
      <w:r w:rsidR="001032AB">
        <w:rPr>
          <w:rFonts w:asciiTheme="majorHAnsi" w:hAnsiTheme="majorHAnsi" w:cstheme="majorHAnsi"/>
          <w:noProof/>
          <w:sz w:val="21"/>
          <w:szCs w:val="21"/>
        </w:rPr>
        <w:t>(1)</w:t>
      </w:r>
      <w:r w:rsidR="001032AB">
        <w:rPr>
          <w:rFonts w:asciiTheme="majorHAnsi" w:hAnsiTheme="majorHAnsi" w:cstheme="majorHAnsi"/>
          <w:sz w:val="21"/>
          <w:szCs w:val="21"/>
        </w:rPr>
        <w:fldChar w:fldCharType="end"/>
      </w:r>
      <w:r w:rsidR="00D17CCD">
        <w:rPr>
          <w:rFonts w:asciiTheme="majorHAnsi" w:hAnsiTheme="majorHAnsi" w:cstheme="majorHAnsi"/>
          <w:sz w:val="21"/>
          <w:szCs w:val="21"/>
        </w:rPr>
        <w:t xml:space="preserve"> While the dataset that has been collated with this world-wide effort is still relatively small, </w:t>
      </w:r>
      <w:r w:rsidR="00FF6544">
        <w:rPr>
          <w:rFonts w:asciiTheme="majorHAnsi" w:hAnsiTheme="majorHAnsi" w:cstheme="majorHAnsi"/>
          <w:sz w:val="21"/>
          <w:szCs w:val="21"/>
        </w:rPr>
        <w:t>early analysis has shown that combination therapy (thiopurines together with TNF antagonist</w:t>
      </w:r>
      <w:r w:rsidR="00D5687B">
        <w:rPr>
          <w:rFonts w:asciiTheme="majorHAnsi" w:hAnsiTheme="majorHAnsi" w:cstheme="majorHAnsi"/>
          <w:sz w:val="21"/>
          <w:szCs w:val="21"/>
        </w:rPr>
        <w:t>s</w:t>
      </w:r>
      <w:r w:rsidR="00FF6544">
        <w:rPr>
          <w:rFonts w:asciiTheme="majorHAnsi" w:hAnsiTheme="majorHAnsi" w:cstheme="majorHAnsi"/>
          <w:sz w:val="21"/>
          <w:szCs w:val="21"/>
        </w:rPr>
        <w:t xml:space="preserve">) is </w:t>
      </w:r>
      <w:r w:rsidR="00BE31F4">
        <w:rPr>
          <w:rFonts w:asciiTheme="majorHAnsi" w:hAnsiTheme="majorHAnsi" w:cstheme="majorHAnsi"/>
          <w:sz w:val="21"/>
          <w:szCs w:val="21"/>
        </w:rPr>
        <w:t xml:space="preserve">potentially </w:t>
      </w:r>
      <w:r w:rsidR="00FF6544">
        <w:rPr>
          <w:rFonts w:asciiTheme="majorHAnsi" w:hAnsiTheme="majorHAnsi" w:cstheme="majorHAnsi"/>
          <w:sz w:val="21"/>
          <w:szCs w:val="21"/>
        </w:rPr>
        <w:t xml:space="preserve">associated with an increased risk of severe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sidR="00FF6544">
        <w:rPr>
          <w:rFonts w:asciiTheme="majorHAnsi" w:hAnsiTheme="majorHAnsi" w:cstheme="majorHAnsi"/>
          <w:sz w:val="21"/>
          <w:szCs w:val="21"/>
        </w:rPr>
        <w:t>-19 compared to monotherapy. (9) However, other risk factors includ</w:t>
      </w:r>
      <w:r w:rsidR="00D5687B">
        <w:rPr>
          <w:rFonts w:asciiTheme="majorHAnsi" w:hAnsiTheme="majorHAnsi" w:cstheme="majorHAnsi"/>
          <w:sz w:val="21"/>
          <w:szCs w:val="21"/>
        </w:rPr>
        <w:t>ing</w:t>
      </w:r>
      <w:r w:rsidR="00FF6544">
        <w:rPr>
          <w:rFonts w:asciiTheme="majorHAnsi" w:hAnsiTheme="majorHAnsi" w:cstheme="majorHAnsi"/>
          <w:sz w:val="21"/>
          <w:szCs w:val="21"/>
        </w:rPr>
        <w:t xml:space="preserve"> age, co-morbidities and corticosteroid</w:t>
      </w:r>
      <w:r w:rsidR="00D5687B">
        <w:rPr>
          <w:rFonts w:asciiTheme="majorHAnsi" w:hAnsiTheme="majorHAnsi" w:cstheme="majorHAnsi"/>
          <w:sz w:val="21"/>
          <w:szCs w:val="21"/>
        </w:rPr>
        <w:t>s</w:t>
      </w:r>
      <w:r w:rsidR="00FF6544">
        <w:rPr>
          <w:rFonts w:asciiTheme="majorHAnsi" w:hAnsiTheme="majorHAnsi" w:cstheme="majorHAnsi"/>
          <w:sz w:val="21"/>
          <w:szCs w:val="21"/>
        </w:rPr>
        <w:t xml:space="preserve"> might also play a role. (10)</w:t>
      </w:r>
    </w:p>
    <w:p w14:paraId="51DA394F" w14:textId="77777777" w:rsidR="0075161B" w:rsidRPr="009962DB" w:rsidRDefault="0075161B" w:rsidP="0075161B">
      <w:pPr>
        <w:rPr>
          <w:rFonts w:asciiTheme="majorHAnsi" w:hAnsiTheme="majorHAnsi" w:cstheme="majorHAnsi"/>
          <w:sz w:val="21"/>
          <w:szCs w:val="21"/>
        </w:rPr>
      </w:pPr>
    </w:p>
    <w:p w14:paraId="21CABADB" w14:textId="3638ADD7" w:rsidR="00CF162C" w:rsidRDefault="007850DE" w:rsidP="00CF162C">
      <w:pPr>
        <w:rPr>
          <w:rFonts w:asciiTheme="majorHAnsi" w:hAnsiTheme="majorHAnsi" w:cstheme="majorHAnsi"/>
          <w:sz w:val="21"/>
          <w:szCs w:val="21"/>
        </w:rPr>
      </w:pPr>
      <w:r>
        <w:rPr>
          <w:rFonts w:asciiTheme="majorHAnsi" w:hAnsiTheme="majorHAnsi" w:cstheme="majorHAnsi"/>
          <w:sz w:val="21"/>
          <w:szCs w:val="21"/>
        </w:rPr>
        <w:t xml:space="preserve">New Zealand </w:t>
      </w:r>
      <w:r w:rsidR="00BE31F4">
        <w:rPr>
          <w:rFonts w:asciiTheme="majorHAnsi" w:hAnsiTheme="majorHAnsi" w:cstheme="majorHAnsi"/>
          <w:sz w:val="21"/>
          <w:szCs w:val="21"/>
        </w:rPr>
        <w:t xml:space="preserve">has </w:t>
      </w:r>
      <w:r>
        <w:rPr>
          <w:rFonts w:asciiTheme="majorHAnsi" w:hAnsiTheme="majorHAnsi" w:cstheme="majorHAnsi"/>
          <w:sz w:val="21"/>
          <w:szCs w:val="21"/>
        </w:rPr>
        <w:t xml:space="preserve">experienced one of the lowest cumulative case counts, incidence, and mortality among higher income countries, following early implementation and rapid escalation of national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Pr>
          <w:rFonts w:asciiTheme="majorHAnsi" w:hAnsiTheme="majorHAnsi" w:cstheme="majorHAnsi"/>
          <w:sz w:val="21"/>
          <w:szCs w:val="21"/>
        </w:rPr>
        <w:t>-19 suppression strategies.</w:t>
      </w:r>
      <w:r>
        <w:rPr>
          <w:rFonts w:asciiTheme="majorHAnsi" w:hAnsiTheme="majorHAnsi" w:cstheme="majorHAnsi"/>
          <w:sz w:val="21"/>
          <w:szCs w:val="21"/>
        </w:rPr>
        <w:fldChar w:fldCharType="begin"/>
      </w:r>
      <w:r>
        <w:rPr>
          <w:rFonts w:asciiTheme="majorHAnsi" w:hAnsiTheme="majorHAnsi" w:cstheme="majorHAnsi"/>
          <w:sz w:val="21"/>
          <w:szCs w:val="21"/>
        </w:rPr>
        <w:instrText xml:space="preserve"> ADDIN ZOTERO_ITEM CSL_CITATION {"citationID":"Cj7mbCs8","properties":{"formattedCitation":"(2)","plainCitation":"(2)","noteIndex":0},"citationItems":[{"id":20,"uris":["http://zotero.org/users/local/UFitRltR/items/K4NZ6RSE"],"uri":["http://zotero.org/users/local/UFitRltR/items/K4NZ6RSE"],"itemData":{"id":20,"type":"article-journal","abstract":"Background In early 2020, during the COVID-19 pandemic, New Zealand implemented graduated, risk-informed national COVID-19 suppression measures aimed at disease elimination. We investigated their impacts on the epidemiology of the first wave of COVID-19 in the country and response performance measures.","container-title":"The Lancet Public Health","DOI":"10.1016/S2468-2667(20)30225-5","ISSN":"24682667","issue":"11","journalAbbreviation":"The Lancet Public Health","language":"en","page":"e612-e623","source":"DOI.org (Crossref)","title":"COVID-19 in New Zealand and the impact of the national response: a descriptive epidemiological study","title-short":"COVID-19 in New Zealand and the impact of the national response","volume":"5","author":[{"family":"Jefferies","given":"Sarah"},{"family":"French","given":"Nigel"},{"family":"Gilkison","given":"Charlotte"},{"family":"Graham","given":"Giles"},{"family":"Hope","given":"Virginia"},{"family":"Marshall","given":"Jonathan"},{"family":"McElnay","given":"Caroline"},{"family":"McNeill","given":"Andrea"},{"family":"Muellner","given":"Petra"},{"family":"Paine","given":"Shevaun"},{"family":"Prasad","given":"Namrata"},{"family":"Scott","given":"Julia"},{"family":"Sherwood","given":"Jillian"},{"family":"Yang","given":"Liang"},{"family":"Priest","given":"Patricia"}],"issued":{"date-parts":[["2020",11]]}}}],"schema":"https://github.com/citation-style-language/schema/raw/master/csl-citation.json"} </w:instrText>
      </w:r>
      <w:r>
        <w:rPr>
          <w:rFonts w:asciiTheme="majorHAnsi" w:hAnsiTheme="majorHAnsi" w:cstheme="majorHAnsi"/>
          <w:sz w:val="21"/>
          <w:szCs w:val="21"/>
        </w:rPr>
        <w:fldChar w:fldCharType="separate"/>
      </w:r>
      <w:r>
        <w:rPr>
          <w:rFonts w:asciiTheme="majorHAnsi" w:hAnsiTheme="majorHAnsi" w:cstheme="majorHAnsi"/>
          <w:noProof/>
          <w:sz w:val="21"/>
          <w:szCs w:val="21"/>
        </w:rPr>
        <w:t>(2)</w:t>
      </w:r>
      <w:r>
        <w:rPr>
          <w:rFonts w:asciiTheme="majorHAnsi" w:hAnsiTheme="majorHAnsi" w:cstheme="majorHAnsi"/>
          <w:sz w:val="21"/>
          <w:szCs w:val="21"/>
        </w:rPr>
        <w:fldChar w:fldCharType="end"/>
      </w:r>
      <w:r w:rsidR="00C878B6">
        <w:rPr>
          <w:rFonts w:asciiTheme="majorHAnsi" w:hAnsiTheme="majorHAnsi" w:cstheme="majorHAnsi"/>
          <w:sz w:val="21"/>
          <w:szCs w:val="21"/>
        </w:rPr>
        <w:t xml:space="preserve"> </w:t>
      </w:r>
      <w:r w:rsidR="00CF162C" w:rsidRPr="009962DB">
        <w:rPr>
          <w:rFonts w:asciiTheme="majorHAnsi" w:hAnsiTheme="majorHAnsi" w:cstheme="majorHAnsi"/>
          <w:sz w:val="21"/>
          <w:szCs w:val="21"/>
        </w:rPr>
        <w:t>The roll out of SARs-CoV2 vaccination</w:t>
      </w:r>
      <w:r w:rsidR="00C878B6">
        <w:rPr>
          <w:rFonts w:asciiTheme="majorHAnsi" w:hAnsiTheme="majorHAnsi" w:cstheme="majorHAnsi"/>
          <w:sz w:val="21"/>
          <w:szCs w:val="21"/>
        </w:rPr>
        <w:t xml:space="preserve"> </w:t>
      </w:r>
      <w:r w:rsidR="00CF162C" w:rsidRPr="009962DB">
        <w:rPr>
          <w:rFonts w:asciiTheme="majorHAnsi" w:hAnsiTheme="majorHAnsi" w:cstheme="majorHAnsi"/>
          <w:sz w:val="21"/>
          <w:szCs w:val="21"/>
        </w:rPr>
        <w:t>provides the opportunity to suppress the virus over the long</w:t>
      </w:r>
      <w:r w:rsidR="00D17CCD">
        <w:rPr>
          <w:rFonts w:asciiTheme="majorHAnsi" w:hAnsiTheme="majorHAnsi" w:cstheme="majorHAnsi"/>
          <w:sz w:val="21"/>
          <w:szCs w:val="21"/>
        </w:rPr>
        <w:t>-</w:t>
      </w:r>
      <w:r w:rsidR="00CF162C" w:rsidRPr="009962DB">
        <w:rPr>
          <w:rFonts w:asciiTheme="majorHAnsi" w:hAnsiTheme="majorHAnsi" w:cstheme="majorHAnsi"/>
          <w:sz w:val="21"/>
          <w:szCs w:val="21"/>
        </w:rPr>
        <w:t xml:space="preserve">term and protect individual patients from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sidR="00CF162C" w:rsidRPr="009962DB">
        <w:rPr>
          <w:rFonts w:asciiTheme="majorHAnsi" w:hAnsiTheme="majorHAnsi" w:cstheme="majorHAnsi"/>
          <w:sz w:val="21"/>
          <w:szCs w:val="21"/>
        </w:rPr>
        <w:t>-19.</w:t>
      </w:r>
    </w:p>
    <w:p w14:paraId="3DB53C28" w14:textId="4F77F7B7" w:rsidR="00D31E60" w:rsidRDefault="00D31E60" w:rsidP="005141A3">
      <w:pPr>
        <w:rPr>
          <w:rFonts w:asciiTheme="majorHAnsi" w:hAnsiTheme="majorHAnsi" w:cstheme="majorHAnsi"/>
          <w:sz w:val="21"/>
          <w:szCs w:val="21"/>
        </w:rPr>
      </w:pPr>
    </w:p>
    <w:p w14:paraId="48670990" w14:textId="77777777" w:rsidR="00B67C43" w:rsidRPr="009962DB" w:rsidRDefault="00B67C43" w:rsidP="005141A3">
      <w:pPr>
        <w:rPr>
          <w:rFonts w:asciiTheme="majorHAnsi" w:hAnsiTheme="majorHAnsi" w:cstheme="majorHAnsi"/>
          <w:sz w:val="21"/>
          <w:szCs w:val="21"/>
        </w:rPr>
      </w:pPr>
    </w:p>
    <w:p w14:paraId="6B289616" w14:textId="7CBE63EA" w:rsidR="00961B34" w:rsidRDefault="00D01C6A" w:rsidP="005141A3">
      <w:pPr>
        <w:rPr>
          <w:rFonts w:asciiTheme="majorHAnsi" w:hAnsiTheme="majorHAnsi" w:cstheme="majorHAnsi"/>
          <w:b/>
          <w:bCs/>
          <w:sz w:val="21"/>
          <w:szCs w:val="21"/>
        </w:rPr>
      </w:pPr>
      <w:bookmarkStart w:id="0" w:name="_Hlk64802706"/>
      <w:r w:rsidRPr="009962DB">
        <w:rPr>
          <w:rFonts w:asciiTheme="majorHAnsi" w:hAnsiTheme="majorHAnsi" w:cstheme="majorHAnsi"/>
          <w:b/>
          <w:bCs/>
          <w:sz w:val="21"/>
          <w:szCs w:val="21"/>
        </w:rPr>
        <w:t>Vaccines to be available in New Zealand:</w:t>
      </w:r>
    </w:p>
    <w:p w14:paraId="2F0BF495" w14:textId="77777777" w:rsidR="00966084" w:rsidRPr="009962DB" w:rsidRDefault="00966084" w:rsidP="005141A3">
      <w:pPr>
        <w:rPr>
          <w:rFonts w:asciiTheme="majorHAnsi" w:hAnsiTheme="majorHAnsi" w:cstheme="majorHAnsi"/>
          <w:b/>
          <w:bCs/>
          <w:sz w:val="21"/>
          <w:szCs w:val="21"/>
        </w:rPr>
      </w:pPr>
    </w:p>
    <w:p w14:paraId="04409556" w14:textId="7B47CB07" w:rsidR="00002F9D" w:rsidRPr="009962DB" w:rsidRDefault="00D5687B" w:rsidP="005141A3">
      <w:pPr>
        <w:rPr>
          <w:rFonts w:asciiTheme="majorHAnsi" w:hAnsiTheme="majorHAnsi" w:cstheme="majorHAnsi"/>
          <w:sz w:val="21"/>
          <w:szCs w:val="21"/>
        </w:rPr>
      </w:pPr>
      <w:r>
        <w:rPr>
          <w:rFonts w:asciiTheme="majorHAnsi" w:hAnsiTheme="majorHAnsi" w:cstheme="majorHAnsi"/>
          <w:sz w:val="21"/>
          <w:szCs w:val="21"/>
        </w:rPr>
        <w:lastRenderedPageBreak/>
        <w:t xml:space="preserve">Vaccinations help our immune system to develop memory T-cells and B-cells that remember a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Pr>
          <w:rFonts w:asciiTheme="majorHAnsi" w:hAnsiTheme="majorHAnsi" w:cstheme="majorHAnsi"/>
          <w:sz w:val="21"/>
          <w:szCs w:val="21"/>
        </w:rPr>
        <w:t xml:space="preserve">-19 infection and start fighting the virus before illness can occur. It usually takes a few weeks to develop this immunity. </w:t>
      </w:r>
    </w:p>
    <w:p w14:paraId="6DFB1032" w14:textId="0C44D770" w:rsidR="00F01A17" w:rsidRDefault="008C6A61" w:rsidP="008C2EEA">
      <w:pPr>
        <w:rPr>
          <w:rFonts w:asciiTheme="majorHAnsi" w:hAnsiTheme="majorHAnsi" w:cstheme="majorHAnsi"/>
          <w:sz w:val="21"/>
          <w:szCs w:val="21"/>
        </w:rPr>
      </w:pPr>
      <w:r w:rsidRPr="009962DB">
        <w:rPr>
          <w:rFonts w:asciiTheme="majorHAnsi" w:hAnsiTheme="majorHAnsi" w:cstheme="majorHAnsi"/>
          <w:sz w:val="21"/>
          <w:szCs w:val="21"/>
        </w:rPr>
        <w:t xml:space="preserve">The New Zealand Government have secured purchase agreements for four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sidR="00F57148" w:rsidRPr="009962DB">
        <w:rPr>
          <w:rFonts w:asciiTheme="majorHAnsi" w:hAnsiTheme="majorHAnsi" w:cstheme="majorHAnsi"/>
          <w:sz w:val="21"/>
          <w:szCs w:val="21"/>
        </w:rPr>
        <w:t>-19</w:t>
      </w:r>
      <w:r w:rsidRPr="009962DB">
        <w:rPr>
          <w:rFonts w:asciiTheme="majorHAnsi" w:hAnsiTheme="majorHAnsi" w:cstheme="majorHAnsi"/>
          <w:sz w:val="21"/>
          <w:szCs w:val="21"/>
        </w:rPr>
        <w:t xml:space="preserve"> vaccines.</w:t>
      </w:r>
      <w:r w:rsidR="001032AB">
        <w:rPr>
          <w:rFonts w:asciiTheme="majorHAnsi" w:hAnsiTheme="majorHAnsi" w:cstheme="majorHAnsi"/>
          <w:sz w:val="21"/>
          <w:szCs w:val="21"/>
        </w:rPr>
        <w:fldChar w:fldCharType="begin"/>
      </w:r>
      <w:r w:rsidR="007850DE">
        <w:rPr>
          <w:rFonts w:asciiTheme="majorHAnsi" w:hAnsiTheme="majorHAnsi" w:cstheme="majorHAnsi"/>
          <w:sz w:val="21"/>
          <w:szCs w:val="21"/>
        </w:rPr>
        <w:instrText xml:space="preserve"> ADDIN ZOTERO_ITEM CSL_CITATION {"citationID":"OvDRw5Jd","properties":{"formattedCitation":"(3)","plainCitation":"(3)","noteIndex":0},"citationItems":[{"id":5,"uris":["http://zotero.org/users/local/UFitRltR/items/DM7PF83U"],"uri":["http://zotero.org/users/local/UFitRltR/items/DM7PF83U"],"itemData":{"id":5,"type":"webpage","abstract":"New Zealand has signed agreements with 4 pharmaceutical companies to purchase COVID-19 vaccines, if they are proven to be safe and effective, New Zealand has signed agreements with 4 pharmaceutical companies to purchase COVID-19 vaccines, if they are proven to be safe and effective","container-title":"Unite against COVID-19","language":"en-NZ","title":"Our COVID-19 vaccine agreements","URL":"https://covid19.govt.nz/health-and-wellbeing/covid-19-vaccines/our-covid-19-vaccine-strategy/our-covid-19-vaccine-agreements/","accessed":{"date-parts":[["2021",2,20]]}}}],"schema":"https://github.com/citation-style-language/schema/raw/master/csl-citation.json"} </w:instrText>
      </w:r>
      <w:r w:rsidR="001032AB">
        <w:rPr>
          <w:rFonts w:asciiTheme="majorHAnsi" w:hAnsiTheme="majorHAnsi" w:cstheme="majorHAnsi"/>
          <w:sz w:val="21"/>
          <w:szCs w:val="21"/>
        </w:rPr>
        <w:fldChar w:fldCharType="separate"/>
      </w:r>
      <w:r w:rsidR="007850DE">
        <w:rPr>
          <w:rFonts w:asciiTheme="majorHAnsi" w:hAnsiTheme="majorHAnsi" w:cstheme="majorHAnsi"/>
          <w:noProof/>
          <w:sz w:val="21"/>
          <w:szCs w:val="21"/>
        </w:rPr>
        <w:t>(3)</w:t>
      </w:r>
      <w:r w:rsidR="001032AB">
        <w:rPr>
          <w:rFonts w:asciiTheme="majorHAnsi" w:hAnsiTheme="majorHAnsi" w:cstheme="majorHAnsi"/>
          <w:sz w:val="21"/>
          <w:szCs w:val="21"/>
        </w:rPr>
        <w:fldChar w:fldCharType="end"/>
      </w:r>
      <w:r w:rsidRPr="009962DB">
        <w:rPr>
          <w:rFonts w:asciiTheme="majorHAnsi" w:hAnsiTheme="majorHAnsi" w:cstheme="majorHAnsi"/>
          <w:sz w:val="21"/>
          <w:szCs w:val="21"/>
        </w:rPr>
        <w:t xml:space="preserve"> </w:t>
      </w:r>
      <w:r w:rsidR="003D721D">
        <w:rPr>
          <w:rFonts w:asciiTheme="majorHAnsi" w:hAnsiTheme="majorHAnsi" w:cstheme="majorHAnsi"/>
          <w:sz w:val="21"/>
          <w:szCs w:val="21"/>
        </w:rPr>
        <w:t>(4)</w:t>
      </w:r>
    </w:p>
    <w:p w14:paraId="260E9FDC" w14:textId="77777777" w:rsidR="00EF16DB" w:rsidRPr="009962DB" w:rsidRDefault="00EF16DB" w:rsidP="008C2EEA">
      <w:pPr>
        <w:rPr>
          <w:rFonts w:asciiTheme="majorHAnsi" w:hAnsiTheme="majorHAnsi" w:cstheme="majorHAnsi"/>
          <w:sz w:val="21"/>
          <w:szCs w:val="21"/>
        </w:rPr>
      </w:pPr>
    </w:p>
    <w:p w14:paraId="229CA5D3" w14:textId="33B0EFA7" w:rsidR="00485D22" w:rsidRPr="009962DB" w:rsidRDefault="003E4CCF" w:rsidP="008C2EEA">
      <w:pPr>
        <w:rPr>
          <w:rFonts w:asciiTheme="majorHAnsi" w:hAnsiTheme="majorHAnsi" w:cstheme="majorHAnsi"/>
          <w:sz w:val="21"/>
          <w:szCs w:val="21"/>
        </w:rPr>
      </w:pPr>
      <w:r w:rsidRPr="009962DB">
        <w:rPr>
          <w:rFonts w:asciiTheme="majorHAnsi" w:hAnsiTheme="majorHAnsi" w:cstheme="majorHAnsi"/>
          <w:b/>
          <w:sz w:val="21"/>
          <w:szCs w:val="21"/>
        </w:rPr>
        <w:t xml:space="preserve">Pfizer/BioNTech </w:t>
      </w:r>
      <w:r w:rsidR="005141A3" w:rsidRPr="009962DB">
        <w:rPr>
          <w:rFonts w:asciiTheme="majorHAnsi" w:hAnsiTheme="majorHAnsi" w:cstheme="majorHAnsi"/>
          <w:b/>
          <w:sz w:val="21"/>
          <w:szCs w:val="21"/>
        </w:rPr>
        <w:t>vaccine</w:t>
      </w:r>
      <w:r w:rsidR="00D943F6" w:rsidRPr="009962DB">
        <w:rPr>
          <w:rFonts w:asciiTheme="majorHAnsi" w:hAnsiTheme="majorHAnsi" w:cstheme="majorHAnsi"/>
          <w:sz w:val="21"/>
          <w:szCs w:val="21"/>
        </w:rPr>
        <w:t xml:space="preserve"> </w:t>
      </w:r>
      <w:r w:rsidR="00F54C4D" w:rsidRPr="009962DB">
        <w:rPr>
          <w:rFonts w:asciiTheme="majorHAnsi" w:hAnsiTheme="majorHAnsi" w:cstheme="majorHAnsi"/>
          <w:sz w:val="21"/>
          <w:szCs w:val="21"/>
        </w:rPr>
        <w:t xml:space="preserve">– </w:t>
      </w:r>
      <w:r w:rsidR="00485D22" w:rsidRPr="00485D22">
        <w:rPr>
          <w:rFonts w:asciiTheme="majorHAnsi" w:hAnsiTheme="majorHAnsi" w:cstheme="majorHAnsi"/>
          <w:sz w:val="21"/>
          <w:szCs w:val="21"/>
        </w:rPr>
        <w:t>this mRNA-based vaccine contains virus material, that contains only the code for SARs-CoV2 spike protein</w:t>
      </w:r>
      <w:r w:rsidR="00485D22">
        <w:rPr>
          <w:rFonts w:asciiTheme="majorHAnsi" w:hAnsiTheme="majorHAnsi" w:cstheme="majorHAnsi"/>
          <w:sz w:val="21"/>
          <w:szCs w:val="21"/>
        </w:rPr>
        <w:t xml:space="preserve"> (</w:t>
      </w:r>
      <w:r w:rsidR="00E40BA0" w:rsidRPr="00485D22">
        <w:rPr>
          <w:rFonts w:asciiTheme="majorHAnsi" w:hAnsiTheme="majorHAnsi" w:cstheme="majorHAnsi"/>
          <w:sz w:val="21"/>
          <w:szCs w:val="21"/>
        </w:rPr>
        <w:t xml:space="preserve">SARs-CoV2 </w:t>
      </w:r>
      <w:r w:rsidR="00E40BA0">
        <w:rPr>
          <w:rFonts w:asciiTheme="majorHAnsi" w:hAnsiTheme="majorHAnsi" w:cstheme="majorHAnsi"/>
          <w:sz w:val="21"/>
          <w:szCs w:val="21"/>
        </w:rPr>
        <w:t xml:space="preserve">is the virus that causes the disease known as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sidR="00485D22">
        <w:rPr>
          <w:rFonts w:asciiTheme="majorHAnsi" w:hAnsiTheme="majorHAnsi" w:cstheme="majorHAnsi"/>
          <w:sz w:val="21"/>
          <w:szCs w:val="21"/>
        </w:rPr>
        <w:t>19)</w:t>
      </w:r>
      <w:r w:rsidR="00485D22" w:rsidRPr="00485D22">
        <w:rPr>
          <w:rFonts w:asciiTheme="majorHAnsi" w:hAnsiTheme="majorHAnsi" w:cstheme="majorHAnsi"/>
          <w:sz w:val="21"/>
          <w:szCs w:val="21"/>
        </w:rPr>
        <w:t>, to makes our cells produce the spike protein leading the immune system to create the memory cells to use in case of a real infection. mRNA is a bit unstable which is why this one needs to be stored at very low temperatures.</w:t>
      </w:r>
    </w:p>
    <w:p w14:paraId="0DCA3F8C" w14:textId="4C08A95A" w:rsidR="00485D22" w:rsidRPr="009962DB" w:rsidRDefault="005141A3" w:rsidP="008C2EEA">
      <w:pPr>
        <w:rPr>
          <w:rFonts w:asciiTheme="majorHAnsi" w:hAnsiTheme="majorHAnsi" w:cstheme="majorHAnsi"/>
          <w:sz w:val="21"/>
          <w:szCs w:val="21"/>
        </w:rPr>
      </w:pPr>
      <w:r w:rsidRPr="009962DB">
        <w:rPr>
          <w:rFonts w:asciiTheme="majorHAnsi" w:hAnsiTheme="majorHAnsi" w:cstheme="majorHAnsi"/>
          <w:b/>
          <w:sz w:val="21"/>
          <w:szCs w:val="21"/>
        </w:rPr>
        <w:t xml:space="preserve">Janssen </w:t>
      </w:r>
      <w:proofErr w:type="spellStart"/>
      <w:r w:rsidRPr="009962DB">
        <w:rPr>
          <w:rFonts w:asciiTheme="majorHAnsi" w:hAnsiTheme="majorHAnsi" w:cstheme="majorHAnsi"/>
          <w:b/>
          <w:sz w:val="21"/>
          <w:szCs w:val="21"/>
        </w:rPr>
        <w:t>Pharmaceutica</w:t>
      </w:r>
      <w:proofErr w:type="spellEnd"/>
      <w:r w:rsidRPr="009962DB">
        <w:rPr>
          <w:rFonts w:asciiTheme="majorHAnsi" w:hAnsiTheme="majorHAnsi" w:cstheme="majorHAnsi"/>
          <w:b/>
          <w:sz w:val="21"/>
          <w:szCs w:val="21"/>
        </w:rPr>
        <w:t xml:space="preserve"> vaccine</w:t>
      </w:r>
      <w:r w:rsidR="00D943F6" w:rsidRPr="009962DB">
        <w:rPr>
          <w:rFonts w:asciiTheme="majorHAnsi" w:hAnsiTheme="majorHAnsi" w:cstheme="majorHAnsi"/>
          <w:sz w:val="21"/>
          <w:szCs w:val="21"/>
        </w:rPr>
        <w:t xml:space="preserve"> </w:t>
      </w:r>
      <w:r w:rsidR="00485D22">
        <w:rPr>
          <w:rFonts w:asciiTheme="majorHAnsi" w:hAnsiTheme="majorHAnsi" w:cstheme="majorHAnsi"/>
          <w:sz w:val="21"/>
          <w:szCs w:val="21"/>
        </w:rPr>
        <w:t xml:space="preserve">and </w:t>
      </w:r>
      <w:r w:rsidR="00485D22" w:rsidRPr="009962DB">
        <w:rPr>
          <w:rFonts w:asciiTheme="majorHAnsi" w:hAnsiTheme="majorHAnsi" w:cstheme="majorHAnsi"/>
          <w:b/>
          <w:sz w:val="21"/>
          <w:szCs w:val="21"/>
        </w:rPr>
        <w:t>University of Oxford/AstraZeneca vaccine</w:t>
      </w:r>
      <w:r w:rsidR="00485D22" w:rsidRPr="009962DB">
        <w:rPr>
          <w:rFonts w:asciiTheme="majorHAnsi" w:hAnsiTheme="majorHAnsi" w:cstheme="majorHAnsi"/>
          <w:sz w:val="21"/>
          <w:szCs w:val="21"/>
        </w:rPr>
        <w:t xml:space="preserve"> </w:t>
      </w:r>
      <w:r w:rsidR="00FD5962" w:rsidRPr="009962DB">
        <w:rPr>
          <w:rFonts w:asciiTheme="majorHAnsi" w:hAnsiTheme="majorHAnsi" w:cstheme="majorHAnsi"/>
          <w:sz w:val="21"/>
          <w:szCs w:val="21"/>
        </w:rPr>
        <w:t xml:space="preserve">– </w:t>
      </w:r>
      <w:r w:rsidR="00485D22" w:rsidRPr="00485D22">
        <w:rPr>
          <w:rFonts w:asciiTheme="majorHAnsi" w:hAnsiTheme="majorHAnsi" w:cstheme="majorHAnsi"/>
          <w:sz w:val="21"/>
          <w:szCs w:val="21"/>
        </w:rPr>
        <w:t>are both inactive adenovirus vector vaccines that use an inactive, unrelated virus to deliver SARS-CoV-2 genetic material for the spike protein to induce memory T- and B-cells</w:t>
      </w:r>
      <w:r w:rsidR="00485D22">
        <w:rPr>
          <w:rFonts w:asciiTheme="majorHAnsi" w:hAnsiTheme="majorHAnsi" w:cstheme="majorHAnsi"/>
          <w:sz w:val="21"/>
          <w:szCs w:val="21"/>
        </w:rPr>
        <w:t>.</w:t>
      </w:r>
    </w:p>
    <w:p w14:paraId="38A2736B" w14:textId="265F37DE" w:rsidR="00BE7232" w:rsidRDefault="00F01A17" w:rsidP="008C2EEA">
      <w:pPr>
        <w:rPr>
          <w:rFonts w:asciiTheme="majorHAnsi" w:hAnsiTheme="majorHAnsi" w:cstheme="majorHAnsi"/>
          <w:sz w:val="21"/>
          <w:szCs w:val="21"/>
        </w:rPr>
      </w:pPr>
      <w:proofErr w:type="spellStart"/>
      <w:r w:rsidRPr="009962DB">
        <w:rPr>
          <w:rFonts w:asciiTheme="majorHAnsi" w:hAnsiTheme="majorHAnsi" w:cstheme="majorHAnsi"/>
          <w:b/>
          <w:sz w:val="21"/>
          <w:szCs w:val="21"/>
        </w:rPr>
        <w:t>Novavax</w:t>
      </w:r>
      <w:proofErr w:type="spellEnd"/>
      <w:r w:rsidRPr="009962DB">
        <w:rPr>
          <w:rFonts w:asciiTheme="majorHAnsi" w:hAnsiTheme="majorHAnsi" w:cstheme="majorHAnsi"/>
          <w:b/>
          <w:sz w:val="21"/>
          <w:szCs w:val="21"/>
        </w:rPr>
        <w:t xml:space="preserve"> vaccine</w:t>
      </w:r>
      <w:r w:rsidRPr="009962DB">
        <w:rPr>
          <w:rFonts w:asciiTheme="majorHAnsi" w:hAnsiTheme="majorHAnsi" w:cstheme="majorHAnsi"/>
          <w:sz w:val="21"/>
          <w:szCs w:val="21"/>
        </w:rPr>
        <w:t xml:space="preserve"> – </w:t>
      </w:r>
      <w:r w:rsidR="00485D22" w:rsidRPr="00485D22">
        <w:rPr>
          <w:rFonts w:asciiTheme="majorHAnsi" w:hAnsiTheme="majorHAnsi" w:cstheme="majorHAnsi"/>
          <w:sz w:val="21"/>
          <w:szCs w:val="21"/>
        </w:rPr>
        <w:t xml:space="preserve">this protein subunit vaccine contains non-infectious coronavirus spike proteins to create the memory cells </w:t>
      </w:r>
      <w:r w:rsidR="00BE31F4">
        <w:rPr>
          <w:rFonts w:asciiTheme="majorHAnsi" w:hAnsiTheme="majorHAnsi" w:cstheme="majorHAnsi"/>
          <w:sz w:val="21"/>
          <w:szCs w:val="21"/>
        </w:rPr>
        <w:t>required to combat the virus in</w:t>
      </w:r>
      <w:r w:rsidR="00485D22" w:rsidRPr="00485D22">
        <w:rPr>
          <w:rFonts w:asciiTheme="majorHAnsi" w:hAnsiTheme="majorHAnsi" w:cstheme="majorHAnsi"/>
          <w:sz w:val="21"/>
          <w:szCs w:val="21"/>
        </w:rPr>
        <w:t xml:space="preserve"> a real infection.</w:t>
      </w:r>
    </w:p>
    <w:p w14:paraId="23303D01" w14:textId="77777777" w:rsidR="00485D22" w:rsidRDefault="00485D22" w:rsidP="008C2EEA">
      <w:pPr>
        <w:rPr>
          <w:rFonts w:asciiTheme="majorHAnsi" w:hAnsiTheme="majorHAnsi" w:cstheme="majorHAnsi"/>
          <w:sz w:val="21"/>
          <w:szCs w:val="21"/>
        </w:rPr>
      </w:pPr>
    </w:p>
    <w:p w14:paraId="741F27EF" w14:textId="70BC302D" w:rsidR="00106125" w:rsidRDefault="003D315D" w:rsidP="003E1EDB">
      <w:pPr>
        <w:rPr>
          <w:rFonts w:asciiTheme="majorHAnsi" w:hAnsiTheme="majorHAnsi" w:cstheme="majorHAnsi"/>
          <w:sz w:val="21"/>
          <w:szCs w:val="21"/>
        </w:rPr>
      </w:pPr>
      <w:r>
        <w:rPr>
          <w:rFonts w:asciiTheme="majorHAnsi" w:hAnsiTheme="majorHAnsi" w:cstheme="majorHAnsi"/>
          <w:sz w:val="21"/>
          <w:szCs w:val="21"/>
        </w:rPr>
        <w:t xml:space="preserve">The </w:t>
      </w:r>
      <w:r w:rsidR="00D42BD5" w:rsidRPr="00485D22">
        <w:rPr>
          <w:rFonts w:asciiTheme="majorHAnsi" w:hAnsiTheme="majorHAnsi" w:cstheme="majorHAnsi"/>
          <w:b/>
          <w:bCs/>
          <w:sz w:val="21"/>
          <w:szCs w:val="21"/>
        </w:rPr>
        <w:t>Pfizer/BioNTech vaccine</w:t>
      </w:r>
      <w:r w:rsidR="00D42BD5">
        <w:rPr>
          <w:rFonts w:asciiTheme="majorHAnsi" w:hAnsiTheme="majorHAnsi" w:cstheme="majorHAnsi"/>
          <w:sz w:val="21"/>
          <w:szCs w:val="21"/>
        </w:rPr>
        <w:t xml:space="preserve"> is</w:t>
      </w:r>
      <w:r>
        <w:rPr>
          <w:rFonts w:asciiTheme="majorHAnsi" w:hAnsiTheme="majorHAnsi" w:cstheme="majorHAnsi"/>
          <w:sz w:val="21"/>
          <w:szCs w:val="21"/>
        </w:rPr>
        <w:t xml:space="preserve"> currently</w:t>
      </w:r>
      <w:r w:rsidR="00D42BD5">
        <w:rPr>
          <w:rFonts w:asciiTheme="majorHAnsi" w:hAnsiTheme="majorHAnsi" w:cstheme="majorHAnsi"/>
          <w:sz w:val="21"/>
          <w:szCs w:val="21"/>
        </w:rPr>
        <w:t xml:space="preserve"> the only of the above vaccinations to have been approved by MedSafe</w:t>
      </w:r>
      <w:r w:rsidR="00D341FC">
        <w:rPr>
          <w:rFonts w:asciiTheme="majorHAnsi" w:hAnsiTheme="majorHAnsi" w:cstheme="majorHAnsi"/>
          <w:sz w:val="21"/>
          <w:szCs w:val="21"/>
        </w:rPr>
        <w:t xml:space="preserve"> (New Zealand Medicines and Medical Devices Safety Authority)</w:t>
      </w:r>
      <w:r w:rsidR="002514C1">
        <w:rPr>
          <w:rFonts w:asciiTheme="majorHAnsi" w:hAnsiTheme="majorHAnsi" w:cstheme="majorHAnsi"/>
          <w:sz w:val="21"/>
          <w:szCs w:val="21"/>
        </w:rPr>
        <w:t>.</w:t>
      </w:r>
      <w:r w:rsidR="001032AB" w:rsidRPr="009962DB">
        <w:rPr>
          <w:rFonts w:asciiTheme="majorHAnsi" w:hAnsiTheme="majorHAnsi" w:cstheme="majorHAnsi"/>
          <w:sz w:val="21"/>
          <w:szCs w:val="21"/>
        </w:rPr>
        <w:t xml:space="preserve"> </w:t>
      </w:r>
      <w:r w:rsidR="00C16DC5">
        <w:rPr>
          <w:rFonts w:asciiTheme="majorHAnsi" w:hAnsiTheme="majorHAnsi" w:cstheme="majorHAnsi"/>
          <w:sz w:val="21"/>
          <w:szCs w:val="21"/>
        </w:rPr>
        <w:fldChar w:fldCharType="begin"/>
      </w:r>
      <w:r w:rsidR="007850DE">
        <w:rPr>
          <w:rFonts w:asciiTheme="majorHAnsi" w:hAnsiTheme="majorHAnsi" w:cstheme="majorHAnsi"/>
          <w:sz w:val="21"/>
          <w:szCs w:val="21"/>
        </w:rPr>
        <w:instrText xml:space="preserve"> ADDIN ZOTERO_ITEM CSL_CITATION {"citationID":"FcoVWJvC","properties":{"formattedCitation":"(4)","plainCitation":"(4)","noteIndex":0},"citationItems":[{"id":13,"uris":["http://zotero.org/users/local/UFitRltR/items/QJKB9Z2Z"],"uri":["http://zotero.org/users/local/UFitRltR/items/QJKB9Z2Z"],"itemData":{"id":13,"type":"webpage","title":"COVID-19 Vaccine Status of Applications","URL":"https://www.medsafe.govt.nz/COVID-19/status-of-applications.asp","accessed":{"date-parts":[["2021",2,20]]}}}],"schema":"https://github.com/citation-style-language/schema/raw/master/csl-citation.json"} </w:instrText>
      </w:r>
      <w:r w:rsidR="00C16DC5">
        <w:rPr>
          <w:rFonts w:asciiTheme="majorHAnsi" w:hAnsiTheme="majorHAnsi" w:cstheme="majorHAnsi"/>
          <w:sz w:val="21"/>
          <w:szCs w:val="21"/>
        </w:rPr>
        <w:fldChar w:fldCharType="separate"/>
      </w:r>
      <w:r w:rsidR="007850DE">
        <w:rPr>
          <w:rFonts w:asciiTheme="majorHAnsi" w:hAnsiTheme="majorHAnsi" w:cstheme="majorHAnsi"/>
          <w:noProof/>
          <w:sz w:val="21"/>
          <w:szCs w:val="21"/>
        </w:rPr>
        <w:t>(4)</w:t>
      </w:r>
      <w:r w:rsidR="00C16DC5">
        <w:rPr>
          <w:rFonts w:asciiTheme="majorHAnsi" w:hAnsiTheme="majorHAnsi" w:cstheme="majorHAnsi"/>
          <w:sz w:val="21"/>
          <w:szCs w:val="21"/>
        </w:rPr>
        <w:fldChar w:fldCharType="end"/>
      </w:r>
      <w:r w:rsidR="00294FA5">
        <w:rPr>
          <w:rFonts w:asciiTheme="majorHAnsi" w:hAnsiTheme="majorHAnsi" w:cstheme="majorHAnsi"/>
          <w:sz w:val="21"/>
          <w:szCs w:val="21"/>
        </w:rPr>
        <w:t xml:space="preserve"> </w:t>
      </w:r>
      <w:r w:rsidR="007B1819" w:rsidRPr="009962DB">
        <w:rPr>
          <w:rFonts w:asciiTheme="majorHAnsi" w:hAnsiTheme="majorHAnsi" w:cstheme="majorHAnsi"/>
          <w:sz w:val="21"/>
          <w:szCs w:val="21"/>
        </w:rPr>
        <w:t>All of the vaccines that will be available in New Zealand are safe to use in IBD patients on</w:t>
      </w:r>
      <w:r w:rsidR="00235957">
        <w:rPr>
          <w:rFonts w:asciiTheme="majorHAnsi" w:hAnsiTheme="majorHAnsi" w:cstheme="majorHAnsi"/>
          <w:sz w:val="21"/>
          <w:szCs w:val="21"/>
        </w:rPr>
        <w:t xml:space="preserve"> </w:t>
      </w:r>
      <w:r w:rsidR="007B1819" w:rsidRPr="009962DB">
        <w:rPr>
          <w:rFonts w:asciiTheme="majorHAnsi" w:hAnsiTheme="majorHAnsi" w:cstheme="majorHAnsi"/>
          <w:sz w:val="21"/>
          <w:szCs w:val="21"/>
        </w:rPr>
        <w:t>immunosuppression</w:t>
      </w:r>
      <w:r w:rsidR="00235957">
        <w:rPr>
          <w:rFonts w:asciiTheme="majorHAnsi" w:hAnsiTheme="majorHAnsi" w:cstheme="majorHAnsi"/>
          <w:sz w:val="21"/>
          <w:szCs w:val="21"/>
        </w:rPr>
        <w:t>,</w:t>
      </w:r>
      <w:r w:rsidR="007B1819" w:rsidRPr="009962DB">
        <w:rPr>
          <w:rFonts w:asciiTheme="majorHAnsi" w:hAnsiTheme="majorHAnsi" w:cstheme="majorHAnsi"/>
          <w:sz w:val="21"/>
          <w:szCs w:val="21"/>
        </w:rPr>
        <w:t xml:space="preserve"> as none contain any active SARS-CoV-2 virus. </w:t>
      </w:r>
      <w:r w:rsidR="00234FC6" w:rsidRPr="009962DB">
        <w:rPr>
          <w:rFonts w:asciiTheme="majorHAnsi" w:hAnsiTheme="majorHAnsi" w:cstheme="majorHAnsi"/>
          <w:sz w:val="21"/>
          <w:szCs w:val="21"/>
        </w:rPr>
        <w:t xml:space="preserve">We therefore recommend that IBD patients accept whichever approved SARS-CoV2 vaccination is offered to them. </w:t>
      </w:r>
    </w:p>
    <w:bookmarkEnd w:id="0"/>
    <w:p w14:paraId="48965782" w14:textId="51B9B5C4" w:rsidR="00D17CCD" w:rsidRDefault="00D17CCD" w:rsidP="003D721D">
      <w:pPr>
        <w:rPr>
          <w:rFonts w:asciiTheme="majorHAnsi" w:hAnsiTheme="majorHAnsi" w:cstheme="majorHAnsi"/>
          <w:sz w:val="21"/>
          <w:szCs w:val="21"/>
        </w:rPr>
      </w:pPr>
    </w:p>
    <w:p w14:paraId="5C7F07E7" w14:textId="77777777" w:rsidR="003D721D" w:rsidRPr="003D721D" w:rsidRDefault="003D721D" w:rsidP="003D721D">
      <w:pPr>
        <w:rPr>
          <w:rFonts w:asciiTheme="majorHAnsi" w:hAnsiTheme="majorHAnsi" w:cstheme="majorHAnsi"/>
          <w:sz w:val="21"/>
          <w:szCs w:val="21"/>
        </w:rPr>
      </w:pPr>
    </w:p>
    <w:p w14:paraId="01AD3342" w14:textId="11956F6C" w:rsidR="00174A67" w:rsidRPr="00797BD9" w:rsidRDefault="003F0149" w:rsidP="00797BD9">
      <w:pPr>
        <w:rPr>
          <w:rFonts w:asciiTheme="majorHAnsi" w:hAnsiTheme="majorHAnsi" w:cstheme="majorHAnsi"/>
          <w:sz w:val="21"/>
          <w:szCs w:val="21"/>
        </w:rPr>
      </w:pPr>
      <w:r w:rsidRPr="00797BD9">
        <w:rPr>
          <w:rFonts w:asciiTheme="majorHAnsi" w:hAnsiTheme="majorHAnsi" w:cstheme="majorHAnsi"/>
          <w:b/>
          <w:sz w:val="21"/>
          <w:szCs w:val="21"/>
        </w:rPr>
        <w:t>Vaccination</w:t>
      </w:r>
      <w:r w:rsidR="004D0E01" w:rsidRPr="00797BD9">
        <w:rPr>
          <w:rFonts w:asciiTheme="majorHAnsi" w:hAnsiTheme="majorHAnsi" w:cstheme="majorHAnsi"/>
          <w:b/>
          <w:sz w:val="21"/>
          <w:szCs w:val="21"/>
        </w:rPr>
        <w:t xml:space="preserve"> Strategy and</w:t>
      </w:r>
      <w:r w:rsidRPr="00797BD9">
        <w:rPr>
          <w:rFonts w:asciiTheme="majorHAnsi" w:hAnsiTheme="majorHAnsi" w:cstheme="majorHAnsi"/>
          <w:b/>
          <w:sz w:val="21"/>
          <w:szCs w:val="21"/>
        </w:rPr>
        <w:t xml:space="preserve"> Prioritisation</w:t>
      </w:r>
      <w:r w:rsidR="00174A67" w:rsidRPr="00797BD9">
        <w:rPr>
          <w:rFonts w:asciiTheme="majorHAnsi" w:hAnsiTheme="majorHAnsi" w:cstheme="majorHAnsi"/>
          <w:b/>
          <w:sz w:val="21"/>
          <w:szCs w:val="21"/>
        </w:rPr>
        <w:t xml:space="preserve"> in N</w:t>
      </w:r>
      <w:r w:rsidR="00961138" w:rsidRPr="00797BD9">
        <w:rPr>
          <w:rFonts w:asciiTheme="majorHAnsi" w:hAnsiTheme="majorHAnsi" w:cstheme="majorHAnsi"/>
          <w:b/>
          <w:sz w:val="21"/>
          <w:szCs w:val="21"/>
        </w:rPr>
        <w:t>ew Zealand:</w:t>
      </w:r>
    </w:p>
    <w:p w14:paraId="73757961" w14:textId="77777777" w:rsidR="00966084" w:rsidRPr="00E424FA" w:rsidRDefault="00966084" w:rsidP="00E424FA">
      <w:pPr>
        <w:rPr>
          <w:rFonts w:asciiTheme="majorHAnsi" w:hAnsiTheme="majorHAnsi" w:cstheme="majorHAnsi"/>
          <w:sz w:val="21"/>
          <w:szCs w:val="21"/>
        </w:rPr>
      </w:pPr>
    </w:p>
    <w:p w14:paraId="471EF746" w14:textId="77777777" w:rsidR="004D0E01" w:rsidRPr="009962DB" w:rsidRDefault="004D0E01" w:rsidP="003E1EDB">
      <w:pPr>
        <w:rPr>
          <w:rFonts w:asciiTheme="majorHAnsi" w:hAnsiTheme="majorHAnsi" w:cstheme="majorHAnsi"/>
          <w:b/>
          <w:sz w:val="21"/>
          <w:szCs w:val="21"/>
        </w:rPr>
      </w:pPr>
    </w:p>
    <w:p w14:paraId="3B9AFD2E" w14:textId="3CA963E9" w:rsidR="00A56421" w:rsidRPr="00A56421" w:rsidRDefault="00A56421" w:rsidP="003E1EDB">
      <w:pPr>
        <w:rPr>
          <w:rFonts w:asciiTheme="majorHAnsi" w:hAnsiTheme="majorHAnsi" w:cstheme="majorHAnsi"/>
          <w:bCs/>
          <w:sz w:val="21"/>
          <w:szCs w:val="21"/>
        </w:rPr>
      </w:pPr>
      <w:r>
        <w:rPr>
          <w:rFonts w:asciiTheme="majorHAnsi" w:hAnsiTheme="majorHAnsi" w:cstheme="majorHAnsi"/>
          <w:bCs/>
          <w:sz w:val="21"/>
          <w:szCs w:val="21"/>
        </w:rPr>
        <w:t xml:space="preserve">The </w:t>
      </w:r>
      <w:r>
        <w:rPr>
          <w:rFonts w:asciiTheme="majorHAnsi" w:hAnsiTheme="majorHAnsi" w:cstheme="majorHAnsi"/>
          <w:bCs/>
          <w:i/>
          <w:iCs/>
          <w:sz w:val="21"/>
          <w:szCs w:val="21"/>
        </w:rPr>
        <w:t xml:space="preserve">Covid-19 Vaccine Strategy Taskforce </w:t>
      </w:r>
      <w:r>
        <w:rPr>
          <w:rFonts w:asciiTheme="majorHAnsi" w:hAnsiTheme="majorHAnsi" w:cstheme="majorHAnsi"/>
          <w:bCs/>
          <w:sz w:val="21"/>
          <w:szCs w:val="21"/>
        </w:rPr>
        <w:t xml:space="preserve">consists of the Ministry of Business, Innovation and Employment, </w:t>
      </w:r>
      <w:r w:rsidR="00F21324">
        <w:rPr>
          <w:rFonts w:asciiTheme="majorHAnsi" w:hAnsiTheme="majorHAnsi" w:cstheme="majorHAnsi"/>
          <w:bCs/>
          <w:sz w:val="21"/>
          <w:szCs w:val="21"/>
        </w:rPr>
        <w:t>Ministry of Foreign Affairs and Trade, Ministry of Health and its regulatory agency Med</w:t>
      </w:r>
      <w:r w:rsidR="00C56009">
        <w:rPr>
          <w:rFonts w:asciiTheme="majorHAnsi" w:hAnsiTheme="majorHAnsi" w:cstheme="majorHAnsi"/>
          <w:bCs/>
          <w:sz w:val="21"/>
          <w:szCs w:val="21"/>
        </w:rPr>
        <w:t>S</w:t>
      </w:r>
      <w:r w:rsidR="00F21324">
        <w:rPr>
          <w:rFonts w:asciiTheme="majorHAnsi" w:hAnsiTheme="majorHAnsi" w:cstheme="majorHAnsi"/>
          <w:bCs/>
          <w:sz w:val="21"/>
          <w:szCs w:val="21"/>
        </w:rPr>
        <w:t>afe, PHARMAC, Treasury and the Department of the Prime Minister and Cabinet.</w:t>
      </w:r>
      <w:r w:rsidR="0029173C">
        <w:rPr>
          <w:rFonts w:asciiTheme="majorHAnsi" w:hAnsiTheme="majorHAnsi" w:cstheme="majorHAnsi"/>
          <w:bCs/>
          <w:sz w:val="21"/>
          <w:szCs w:val="21"/>
        </w:rPr>
        <w:t xml:space="preserve"> The Task force is supported with independent expert advice from the Science and Technical advisory group, which includes representatives from across the science and research community.</w:t>
      </w:r>
      <w:r w:rsidR="009D75D2">
        <w:rPr>
          <w:rFonts w:asciiTheme="majorHAnsi" w:hAnsiTheme="majorHAnsi" w:cstheme="majorHAnsi"/>
          <w:bCs/>
          <w:sz w:val="21"/>
          <w:szCs w:val="21"/>
        </w:rPr>
        <w:fldChar w:fldCharType="begin"/>
      </w:r>
      <w:r w:rsidR="009D75D2">
        <w:rPr>
          <w:rFonts w:asciiTheme="majorHAnsi" w:hAnsiTheme="majorHAnsi" w:cstheme="majorHAnsi"/>
          <w:bCs/>
          <w:sz w:val="21"/>
          <w:szCs w:val="21"/>
        </w:rPr>
        <w:instrText xml:space="preserve"> ADDIN ZOTERO_ITEM CSL_CITATION {"citationID":"icbUTDTR","properties":{"formattedCitation":"(5)","plainCitation":"(5)","noteIndex":0},"citationItems":[{"id":18,"uris":["http://zotero.org/users/local/UFitRltR/items/8IMWVPF7"],"uri":["http://zotero.org/users/local/UFitRltR/items/8IMWVPF7"],"itemData":{"id":18,"type":"webpage","title":"COVID-19 Vaccine Strategy | Ministry of Business, Innovation &amp; Employment","URL":"https://www.mbie.govt.nz/science-and-technology/science-and-innovation/international-opportunities/covid-19-vaccine-strategy","accessed":{"date-parts":[["2021",2,20]]}}}],"schema":"https://github.com/citation-style-language/schema/raw/master/csl-citation.json"} </w:instrText>
      </w:r>
      <w:r w:rsidR="009D75D2">
        <w:rPr>
          <w:rFonts w:asciiTheme="majorHAnsi" w:hAnsiTheme="majorHAnsi" w:cstheme="majorHAnsi"/>
          <w:bCs/>
          <w:sz w:val="21"/>
          <w:szCs w:val="21"/>
        </w:rPr>
        <w:fldChar w:fldCharType="separate"/>
      </w:r>
      <w:r w:rsidR="009D75D2">
        <w:rPr>
          <w:rFonts w:asciiTheme="majorHAnsi" w:hAnsiTheme="majorHAnsi" w:cstheme="majorHAnsi"/>
          <w:bCs/>
          <w:noProof/>
          <w:sz w:val="21"/>
          <w:szCs w:val="21"/>
        </w:rPr>
        <w:t>(5)</w:t>
      </w:r>
      <w:r w:rsidR="009D75D2">
        <w:rPr>
          <w:rFonts w:asciiTheme="majorHAnsi" w:hAnsiTheme="majorHAnsi" w:cstheme="majorHAnsi"/>
          <w:bCs/>
          <w:sz w:val="21"/>
          <w:szCs w:val="21"/>
        </w:rPr>
        <w:fldChar w:fldCharType="end"/>
      </w:r>
      <w:r w:rsidR="009D75D2" w:rsidRPr="00A56421">
        <w:rPr>
          <w:rFonts w:asciiTheme="majorHAnsi" w:hAnsiTheme="majorHAnsi" w:cstheme="majorHAnsi"/>
          <w:bCs/>
          <w:sz w:val="21"/>
          <w:szCs w:val="21"/>
        </w:rPr>
        <w:t xml:space="preserve"> </w:t>
      </w:r>
    </w:p>
    <w:p w14:paraId="2935CA8E" w14:textId="3B63D010" w:rsidR="00A56421" w:rsidRDefault="00A56421" w:rsidP="003E1EDB">
      <w:pPr>
        <w:rPr>
          <w:rFonts w:asciiTheme="majorHAnsi" w:hAnsiTheme="majorHAnsi" w:cstheme="majorHAnsi"/>
          <w:bCs/>
          <w:sz w:val="21"/>
          <w:szCs w:val="21"/>
        </w:rPr>
      </w:pPr>
    </w:p>
    <w:p w14:paraId="47F21635" w14:textId="7469A222" w:rsidR="00AC1254" w:rsidRDefault="00E74D76" w:rsidP="003E1EDB">
      <w:pPr>
        <w:rPr>
          <w:rFonts w:asciiTheme="majorHAnsi" w:hAnsiTheme="majorHAnsi" w:cstheme="majorHAnsi"/>
          <w:bCs/>
          <w:sz w:val="21"/>
          <w:szCs w:val="21"/>
        </w:rPr>
      </w:pPr>
      <w:r w:rsidRPr="009962DB">
        <w:rPr>
          <w:rFonts w:asciiTheme="majorHAnsi" w:hAnsiTheme="majorHAnsi" w:cstheme="majorHAnsi"/>
          <w:bCs/>
          <w:sz w:val="21"/>
          <w:szCs w:val="21"/>
        </w:rPr>
        <w:t xml:space="preserve">The sequence of the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sidRPr="009962DB">
        <w:rPr>
          <w:rFonts w:asciiTheme="majorHAnsi" w:hAnsiTheme="majorHAnsi" w:cstheme="majorHAnsi"/>
          <w:bCs/>
          <w:sz w:val="21"/>
          <w:szCs w:val="21"/>
        </w:rPr>
        <w:t xml:space="preserve">-19 vaccination roll out in New Zealand is dependent on </w:t>
      </w:r>
      <w:proofErr w:type="gramStart"/>
      <w:r w:rsidRPr="009962DB">
        <w:rPr>
          <w:rFonts w:asciiTheme="majorHAnsi" w:hAnsiTheme="majorHAnsi" w:cstheme="majorHAnsi"/>
          <w:bCs/>
          <w:sz w:val="21"/>
          <w:szCs w:val="21"/>
        </w:rPr>
        <w:t>whether or not</w:t>
      </w:r>
      <w:proofErr w:type="gramEnd"/>
      <w:r w:rsidRPr="009962DB">
        <w:rPr>
          <w:rFonts w:asciiTheme="majorHAnsi" w:hAnsiTheme="majorHAnsi" w:cstheme="majorHAnsi"/>
          <w:bCs/>
          <w:sz w:val="21"/>
          <w:szCs w:val="21"/>
        </w:rPr>
        <w:t xml:space="preserve"> there is community transmission</w:t>
      </w:r>
      <w:r w:rsidR="00DB7982">
        <w:rPr>
          <w:rFonts w:asciiTheme="majorHAnsi" w:hAnsiTheme="majorHAnsi" w:cstheme="majorHAnsi"/>
          <w:bCs/>
          <w:sz w:val="21"/>
          <w:szCs w:val="21"/>
        </w:rPr>
        <w:t xml:space="preserve"> (see image below)</w:t>
      </w:r>
      <w:r w:rsidRPr="009962DB">
        <w:rPr>
          <w:rFonts w:asciiTheme="majorHAnsi" w:hAnsiTheme="majorHAnsi" w:cstheme="majorHAnsi"/>
          <w:bCs/>
          <w:sz w:val="21"/>
          <w:szCs w:val="21"/>
        </w:rPr>
        <w:t>. Currently, vaccination is occurring based on ‘Scenario One’</w:t>
      </w:r>
      <w:r w:rsidR="008E22FB" w:rsidRPr="009962DB">
        <w:rPr>
          <w:rFonts w:asciiTheme="majorHAnsi" w:hAnsiTheme="majorHAnsi" w:cstheme="majorHAnsi"/>
          <w:bCs/>
          <w:sz w:val="21"/>
          <w:szCs w:val="21"/>
        </w:rPr>
        <w:t>, with vaccination of the border, managed isolation and quarantine workforce</w:t>
      </w:r>
      <w:r w:rsidR="001D15E3">
        <w:rPr>
          <w:rFonts w:asciiTheme="majorHAnsi" w:hAnsiTheme="majorHAnsi" w:cstheme="majorHAnsi"/>
          <w:bCs/>
          <w:sz w:val="21"/>
          <w:szCs w:val="21"/>
        </w:rPr>
        <w:t xml:space="preserve"> occurring first.</w:t>
      </w:r>
      <w:r w:rsidR="001D15E3">
        <w:rPr>
          <w:rFonts w:asciiTheme="majorHAnsi" w:hAnsiTheme="majorHAnsi" w:cstheme="majorHAnsi"/>
          <w:bCs/>
          <w:sz w:val="21"/>
          <w:szCs w:val="21"/>
        </w:rPr>
        <w:fldChar w:fldCharType="begin"/>
      </w:r>
      <w:r w:rsidR="007850DE">
        <w:rPr>
          <w:rFonts w:asciiTheme="majorHAnsi" w:hAnsiTheme="majorHAnsi" w:cstheme="majorHAnsi"/>
          <w:bCs/>
          <w:sz w:val="21"/>
          <w:szCs w:val="21"/>
        </w:rPr>
        <w:instrText xml:space="preserve"> ADDIN ZOTERO_ITEM CSL_CITATION {"citationID":"9HCVQ7yw","properties":{"formattedCitation":"(6)","plainCitation":"(6)","noteIndex":0},"citationItems":[{"id":7,"uris":["http://zotero.org/users/local/UFitRltR/items/RBRYFFZ4"],"uri":["http://zotero.org/users/local/UFitRltR/items/RBRYFFZ4"],"itemData":{"id":7,"type":"webpage","abstract":"New Zealand is developing a COVID-19 vaccine programme, to start in 2021. The frequently asked questions and resources below aim to provide some initial information. As the situation is changing daily, we will keep this page as up to date as we can. Note the date of last changes is at the bottom of the page. COVID-19 vaccines: Frequently asked questions General Are COVID-19 vaccines going to be compulsory in New Zealand? No. The New Zealand Government has stated that COVID-19 vaccination WILL NOT be compulsory. Which COVID-19 vaccines are likely to be available for New Zealanders?","container-title":"Immunisation Advisory Centre","language":"en","title":"COVID-19 vaccines","URL":"https://www.immune.org.nz/covid-19-vaccines","accessed":{"date-parts":[["2021",2,20]]},"issued":{"date-parts":[["2020",12,16]]}}}],"schema":"https://github.com/citation-style-language/schema/raw/master/csl-citation.json"} </w:instrText>
      </w:r>
      <w:r w:rsidR="001D15E3">
        <w:rPr>
          <w:rFonts w:asciiTheme="majorHAnsi" w:hAnsiTheme="majorHAnsi" w:cstheme="majorHAnsi"/>
          <w:bCs/>
          <w:sz w:val="21"/>
          <w:szCs w:val="21"/>
        </w:rPr>
        <w:fldChar w:fldCharType="separate"/>
      </w:r>
      <w:r w:rsidR="007850DE">
        <w:rPr>
          <w:rFonts w:asciiTheme="majorHAnsi" w:hAnsiTheme="majorHAnsi" w:cstheme="majorHAnsi"/>
          <w:bCs/>
          <w:noProof/>
          <w:sz w:val="21"/>
          <w:szCs w:val="21"/>
        </w:rPr>
        <w:t>(6)</w:t>
      </w:r>
      <w:r w:rsidR="001D15E3">
        <w:rPr>
          <w:rFonts w:asciiTheme="majorHAnsi" w:hAnsiTheme="majorHAnsi" w:cstheme="majorHAnsi"/>
          <w:bCs/>
          <w:sz w:val="21"/>
          <w:szCs w:val="21"/>
        </w:rPr>
        <w:fldChar w:fldCharType="end"/>
      </w:r>
      <w:r w:rsidR="001D15E3">
        <w:rPr>
          <w:rFonts w:asciiTheme="majorHAnsi" w:hAnsiTheme="majorHAnsi" w:cstheme="majorHAnsi"/>
          <w:bCs/>
          <w:sz w:val="21"/>
          <w:szCs w:val="21"/>
        </w:rPr>
        <w:t xml:space="preserve"> </w:t>
      </w:r>
      <w:r w:rsidR="008E22FB" w:rsidRPr="009962DB">
        <w:rPr>
          <w:rFonts w:asciiTheme="majorHAnsi" w:hAnsiTheme="majorHAnsi" w:cstheme="majorHAnsi"/>
          <w:bCs/>
          <w:sz w:val="21"/>
          <w:szCs w:val="21"/>
        </w:rPr>
        <w:t>The expectation is that patients with inflammatory bowel disease will fall into Group 3 ‘People with underlying conditions</w:t>
      </w:r>
      <w:r w:rsidR="00AC1254">
        <w:rPr>
          <w:rFonts w:asciiTheme="majorHAnsi" w:hAnsiTheme="majorHAnsi" w:cstheme="majorHAnsi"/>
          <w:bCs/>
          <w:sz w:val="21"/>
          <w:szCs w:val="21"/>
        </w:rPr>
        <w:t xml:space="preserve">’, however it is not yet clear if this is dependent on whether </w:t>
      </w:r>
      <w:r w:rsidR="004F0C32">
        <w:rPr>
          <w:rFonts w:asciiTheme="majorHAnsi" w:hAnsiTheme="majorHAnsi" w:cstheme="majorHAnsi"/>
          <w:bCs/>
          <w:sz w:val="21"/>
          <w:szCs w:val="21"/>
        </w:rPr>
        <w:t>they are</w:t>
      </w:r>
      <w:r w:rsidR="00AC1254">
        <w:rPr>
          <w:rFonts w:asciiTheme="majorHAnsi" w:hAnsiTheme="majorHAnsi" w:cstheme="majorHAnsi"/>
          <w:bCs/>
          <w:sz w:val="21"/>
          <w:szCs w:val="21"/>
        </w:rPr>
        <w:t xml:space="preserve"> on immunosuppressive therapy for their IBD or not. If patients</w:t>
      </w:r>
      <w:r w:rsidR="001F7F40">
        <w:rPr>
          <w:rFonts w:asciiTheme="majorHAnsi" w:hAnsiTheme="majorHAnsi" w:cstheme="majorHAnsi"/>
          <w:bCs/>
          <w:sz w:val="21"/>
          <w:szCs w:val="21"/>
        </w:rPr>
        <w:t xml:space="preserve"> with IBD </w:t>
      </w:r>
      <w:r w:rsidR="00AC1254">
        <w:rPr>
          <w:rFonts w:asciiTheme="majorHAnsi" w:hAnsiTheme="majorHAnsi" w:cstheme="majorHAnsi"/>
          <w:bCs/>
          <w:sz w:val="21"/>
          <w:szCs w:val="21"/>
        </w:rPr>
        <w:t>were to meet any of the criteria to be included in Groups 1 or 2, then they will be prioritised</w:t>
      </w:r>
      <w:r w:rsidR="001F7F40">
        <w:rPr>
          <w:rFonts w:asciiTheme="majorHAnsi" w:hAnsiTheme="majorHAnsi" w:cstheme="majorHAnsi"/>
          <w:bCs/>
          <w:sz w:val="21"/>
          <w:szCs w:val="21"/>
        </w:rPr>
        <w:t xml:space="preserve"> and vaccinated earlier.</w:t>
      </w:r>
    </w:p>
    <w:p w14:paraId="0A8D2468" w14:textId="77777777" w:rsidR="000953C8" w:rsidRDefault="000953C8" w:rsidP="003E1EDB">
      <w:pPr>
        <w:rPr>
          <w:rFonts w:asciiTheme="majorHAnsi" w:hAnsiTheme="majorHAnsi" w:cstheme="majorHAnsi"/>
          <w:bCs/>
          <w:sz w:val="21"/>
          <w:szCs w:val="21"/>
        </w:rPr>
      </w:pPr>
    </w:p>
    <w:p w14:paraId="03D271C9" w14:textId="77777777" w:rsidR="00B607C1" w:rsidRPr="009962DB" w:rsidRDefault="00B607C1" w:rsidP="003E1EDB">
      <w:pPr>
        <w:rPr>
          <w:rFonts w:asciiTheme="majorHAnsi" w:hAnsiTheme="majorHAnsi" w:cstheme="majorHAnsi"/>
          <w:b/>
          <w:sz w:val="21"/>
          <w:szCs w:val="21"/>
        </w:rPr>
      </w:pPr>
    </w:p>
    <w:p w14:paraId="7AFC75D7" w14:textId="77777777" w:rsidR="00E74D76" w:rsidRPr="009962DB" w:rsidRDefault="00E74D76" w:rsidP="003E1EDB">
      <w:pPr>
        <w:rPr>
          <w:rFonts w:asciiTheme="majorHAnsi" w:hAnsiTheme="majorHAnsi" w:cstheme="majorHAnsi"/>
          <w:b/>
          <w:sz w:val="21"/>
          <w:szCs w:val="21"/>
        </w:rPr>
      </w:pPr>
      <w:r w:rsidRPr="009962DB">
        <w:rPr>
          <w:rFonts w:asciiTheme="majorHAnsi" w:hAnsiTheme="majorHAnsi" w:cstheme="majorHAnsi"/>
          <w:b/>
          <w:noProof/>
          <w:sz w:val="21"/>
          <w:szCs w:val="21"/>
        </w:rPr>
        <w:lastRenderedPageBreak/>
        <w:drawing>
          <wp:inline distT="0" distB="0" distL="0" distR="0" wp14:anchorId="40615665" wp14:editId="39E82A6F">
            <wp:extent cx="5689600" cy="379474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45488" cy="3832024"/>
                    </a:xfrm>
                    <a:prstGeom prst="rect">
                      <a:avLst/>
                    </a:prstGeom>
                  </pic:spPr>
                </pic:pic>
              </a:graphicData>
            </a:graphic>
          </wp:inline>
        </w:drawing>
      </w:r>
    </w:p>
    <w:p w14:paraId="2B14D516" w14:textId="1F280C66" w:rsidR="00081858" w:rsidRDefault="00081858" w:rsidP="003E1EDB">
      <w:pPr>
        <w:rPr>
          <w:rFonts w:asciiTheme="majorHAnsi" w:hAnsiTheme="majorHAnsi" w:cstheme="majorHAnsi"/>
          <w:b/>
          <w:sz w:val="21"/>
          <w:szCs w:val="21"/>
        </w:rPr>
      </w:pPr>
      <w:r>
        <w:rPr>
          <w:rFonts w:asciiTheme="majorHAnsi" w:hAnsiTheme="majorHAnsi" w:cstheme="majorHAnsi"/>
          <w:b/>
          <w:sz w:val="21"/>
          <w:szCs w:val="21"/>
        </w:rPr>
        <w:t xml:space="preserve">Implications of Immunosuppressive therapy </w:t>
      </w:r>
      <w:r w:rsidR="001D67C3">
        <w:rPr>
          <w:rFonts w:asciiTheme="majorHAnsi" w:hAnsiTheme="majorHAnsi" w:cstheme="majorHAnsi"/>
          <w:b/>
          <w:sz w:val="21"/>
          <w:szCs w:val="21"/>
        </w:rPr>
        <w:t xml:space="preserve">in IBD and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sidR="001D67C3">
        <w:rPr>
          <w:rFonts w:asciiTheme="majorHAnsi" w:hAnsiTheme="majorHAnsi" w:cstheme="majorHAnsi"/>
          <w:b/>
          <w:sz w:val="21"/>
          <w:szCs w:val="21"/>
        </w:rPr>
        <w:t>-19 Vaccination</w:t>
      </w:r>
    </w:p>
    <w:p w14:paraId="78B7032E" w14:textId="77777777" w:rsidR="00BF0441" w:rsidRPr="009962DB" w:rsidRDefault="00BF0441" w:rsidP="003E1EDB">
      <w:pPr>
        <w:rPr>
          <w:rFonts w:asciiTheme="majorHAnsi" w:hAnsiTheme="majorHAnsi" w:cstheme="majorHAnsi"/>
          <w:b/>
          <w:sz w:val="21"/>
          <w:szCs w:val="21"/>
        </w:rPr>
      </w:pPr>
    </w:p>
    <w:p w14:paraId="0D376441" w14:textId="77777777" w:rsidR="00081858" w:rsidRDefault="00081858" w:rsidP="003E1EDB">
      <w:pPr>
        <w:rPr>
          <w:rFonts w:asciiTheme="majorHAnsi" w:hAnsiTheme="majorHAnsi" w:cstheme="majorHAnsi"/>
          <w:sz w:val="21"/>
          <w:szCs w:val="21"/>
        </w:rPr>
      </w:pPr>
    </w:p>
    <w:p w14:paraId="10E08647" w14:textId="1906DA45" w:rsidR="00E45883" w:rsidRDefault="00BE7232" w:rsidP="003E1EDB">
      <w:pPr>
        <w:rPr>
          <w:rFonts w:asciiTheme="majorHAnsi" w:hAnsiTheme="majorHAnsi" w:cstheme="majorHAnsi"/>
          <w:sz w:val="21"/>
          <w:szCs w:val="21"/>
        </w:rPr>
      </w:pPr>
      <w:r w:rsidRPr="009962DB">
        <w:rPr>
          <w:rFonts w:asciiTheme="majorHAnsi" w:hAnsiTheme="majorHAnsi" w:cstheme="majorHAnsi"/>
          <w:sz w:val="21"/>
          <w:szCs w:val="21"/>
        </w:rPr>
        <w:t>For IBD patients taking immunosuppress</w:t>
      </w:r>
      <w:r w:rsidR="00C2654B">
        <w:rPr>
          <w:rFonts w:asciiTheme="majorHAnsi" w:hAnsiTheme="majorHAnsi" w:cstheme="majorHAnsi"/>
          <w:sz w:val="21"/>
          <w:szCs w:val="21"/>
        </w:rPr>
        <w:t>ant</w:t>
      </w:r>
      <w:r w:rsidRPr="009962DB">
        <w:rPr>
          <w:rFonts w:asciiTheme="majorHAnsi" w:hAnsiTheme="majorHAnsi" w:cstheme="majorHAnsi"/>
          <w:sz w:val="21"/>
          <w:szCs w:val="21"/>
        </w:rPr>
        <w:t xml:space="preserve"> medications,</w:t>
      </w:r>
      <w:r w:rsidR="00C41D2E" w:rsidRPr="009962DB">
        <w:rPr>
          <w:rFonts w:asciiTheme="majorHAnsi" w:hAnsiTheme="majorHAnsi" w:cstheme="majorHAnsi"/>
          <w:sz w:val="21"/>
          <w:szCs w:val="21"/>
        </w:rPr>
        <w:t xml:space="preserve"> including biologics</w:t>
      </w:r>
      <w:r w:rsidR="00C77E01" w:rsidRPr="009962DB">
        <w:rPr>
          <w:rFonts w:asciiTheme="majorHAnsi" w:hAnsiTheme="majorHAnsi" w:cstheme="majorHAnsi"/>
          <w:sz w:val="21"/>
          <w:szCs w:val="21"/>
        </w:rPr>
        <w:t xml:space="preserve"> (</w:t>
      </w:r>
      <w:r w:rsidR="00993D0E">
        <w:rPr>
          <w:rFonts w:asciiTheme="majorHAnsi" w:hAnsiTheme="majorHAnsi" w:cstheme="majorHAnsi"/>
          <w:sz w:val="21"/>
          <w:szCs w:val="21"/>
        </w:rPr>
        <w:t>i</w:t>
      </w:r>
      <w:r w:rsidR="00C77E01" w:rsidRPr="009962DB">
        <w:rPr>
          <w:rFonts w:asciiTheme="majorHAnsi" w:hAnsiTheme="majorHAnsi" w:cstheme="majorHAnsi"/>
          <w:sz w:val="21"/>
          <w:szCs w:val="21"/>
        </w:rPr>
        <w:t xml:space="preserve">nfliximab, </w:t>
      </w:r>
      <w:r w:rsidR="00993D0E">
        <w:rPr>
          <w:rFonts w:asciiTheme="majorHAnsi" w:hAnsiTheme="majorHAnsi" w:cstheme="majorHAnsi"/>
          <w:sz w:val="21"/>
          <w:szCs w:val="21"/>
        </w:rPr>
        <w:t>a</w:t>
      </w:r>
      <w:r w:rsidR="00C77E01" w:rsidRPr="009962DB">
        <w:rPr>
          <w:rFonts w:asciiTheme="majorHAnsi" w:hAnsiTheme="majorHAnsi" w:cstheme="majorHAnsi"/>
          <w:sz w:val="21"/>
          <w:szCs w:val="21"/>
        </w:rPr>
        <w:t>dalimumab</w:t>
      </w:r>
      <w:r w:rsidR="00BE31F4">
        <w:rPr>
          <w:rFonts w:asciiTheme="majorHAnsi" w:hAnsiTheme="majorHAnsi" w:cstheme="majorHAnsi"/>
          <w:sz w:val="21"/>
          <w:szCs w:val="21"/>
        </w:rPr>
        <w:t xml:space="preserve">, or other biologic agents as part of research studies or </w:t>
      </w:r>
      <w:proofErr w:type="spellStart"/>
      <w:r w:rsidR="00BE31F4">
        <w:rPr>
          <w:rFonts w:asciiTheme="majorHAnsi" w:hAnsiTheme="majorHAnsi" w:cstheme="majorHAnsi"/>
          <w:sz w:val="21"/>
          <w:szCs w:val="21"/>
        </w:rPr>
        <w:t>self funded</w:t>
      </w:r>
      <w:proofErr w:type="spellEnd"/>
      <w:r w:rsidR="00C77E01" w:rsidRPr="009962DB">
        <w:rPr>
          <w:rFonts w:asciiTheme="majorHAnsi" w:hAnsiTheme="majorHAnsi" w:cstheme="majorHAnsi"/>
          <w:sz w:val="21"/>
          <w:szCs w:val="21"/>
        </w:rPr>
        <w:t>)</w:t>
      </w:r>
      <w:r w:rsidR="00D81F2E">
        <w:rPr>
          <w:rFonts w:asciiTheme="majorHAnsi" w:hAnsiTheme="majorHAnsi" w:cstheme="majorHAnsi"/>
          <w:sz w:val="21"/>
          <w:szCs w:val="21"/>
        </w:rPr>
        <w:t xml:space="preserve">, </w:t>
      </w:r>
      <w:r w:rsidR="00114D28" w:rsidRPr="009962DB">
        <w:rPr>
          <w:rFonts w:asciiTheme="majorHAnsi" w:hAnsiTheme="majorHAnsi" w:cstheme="majorHAnsi"/>
          <w:sz w:val="21"/>
          <w:szCs w:val="21"/>
        </w:rPr>
        <w:t>anti-metabolites (azathioprine, 6-mercaptopurine</w:t>
      </w:r>
      <w:r w:rsidR="00C41D2E" w:rsidRPr="009962DB">
        <w:rPr>
          <w:rFonts w:asciiTheme="majorHAnsi" w:hAnsiTheme="majorHAnsi" w:cstheme="majorHAnsi"/>
          <w:sz w:val="21"/>
          <w:szCs w:val="21"/>
        </w:rPr>
        <w:t>,</w:t>
      </w:r>
      <w:r w:rsidR="00114D28" w:rsidRPr="009962DB">
        <w:rPr>
          <w:rFonts w:asciiTheme="majorHAnsi" w:hAnsiTheme="majorHAnsi" w:cstheme="majorHAnsi"/>
          <w:sz w:val="21"/>
          <w:szCs w:val="21"/>
        </w:rPr>
        <w:t xml:space="preserve"> methotrexate)</w:t>
      </w:r>
      <w:r w:rsidRPr="009962DB">
        <w:rPr>
          <w:rFonts w:asciiTheme="majorHAnsi" w:hAnsiTheme="majorHAnsi" w:cstheme="majorHAnsi"/>
          <w:sz w:val="21"/>
          <w:szCs w:val="21"/>
        </w:rPr>
        <w:t xml:space="preserve"> </w:t>
      </w:r>
      <w:r w:rsidR="00D81F2E">
        <w:rPr>
          <w:rFonts w:asciiTheme="majorHAnsi" w:hAnsiTheme="majorHAnsi" w:cstheme="majorHAnsi"/>
          <w:sz w:val="21"/>
          <w:szCs w:val="21"/>
        </w:rPr>
        <w:t xml:space="preserve">and corticosteroids, </w:t>
      </w:r>
      <w:r w:rsidRPr="009962DB">
        <w:rPr>
          <w:rFonts w:asciiTheme="majorHAnsi" w:hAnsiTheme="majorHAnsi" w:cstheme="majorHAnsi"/>
          <w:sz w:val="21"/>
          <w:szCs w:val="21"/>
        </w:rPr>
        <w:t>the key concerns are related to the theoretical risk of sub-optimal vaccine responses, rather than the risk of vaccine side effects.</w:t>
      </w:r>
      <w:r w:rsidR="008C6A61" w:rsidRPr="009962DB">
        <w:rPr>
          <w:rFonts w:asciiTheme="majorHAnsi" w:hAnsiTheme="majorHAnsi" w:cstheme="majorHAnsi"/>
          <w:sz w:val="21"/>
          <w:szCs w:val="21"/>
        </w:rPr>
        <w:t xml:space="preserve"> </w:t>
      </w:r>
      <w:r w:rsidR="00993D0E">
        <w:rPr>
          <w:rFonts w:asciiTheme="majorHAnsi" w:hAnsiTheme="majorHAnsi" w:cstheme="majorHAnsi"/>
          <w:sz w:val="21"/>
          <w:szCs w:val="21"/>
        </w:rPr>
        <w:t xml:space="preserve">For example, there is evidence to suggest that in </w:t>
      </w:r>
      <w:r w:rsidR="00835EF3">
        <w:rPr>
          <w:rFonts w:asciiTheme="majorHAnsi" w:hAnsiTheme="majorHAnsi" w:cstheme="majorHAnsi"/>
          <w:sz w:val="21"/>
          <w:szCs w:val="21"/>
        </w:rPr>
        <w:t xml:space="preserve">IBD patients </w:t>
      </w:r>
      <w:r w:rsidR="00C87F9E">
        <w:rPr>
          <w:rFonts w:asciiTheme="majorHAnsi" w:hAnsiTheme="majorHAnsi" w:cstheme="majorHAnsi"/>
          <w:sz w:val="21"/>
          <w:szCs w:val="21"/>
        </w:rPr>
        <w:t xml:space="preserve">vaccinated for Hepatitis </w:t>
      </w:r>
      <w:r w:rsidR="00E45883">
        <w:rPr>
          <w:rFonts w:asciiTheme="majorHAnsi" w:hAnsiTheme="majorHAnsi" w:cstheme="majorHAnsi"/>
          <w:sz w:val="21"/>
          <w:szCs w:val="21"/>
        </w:rPr>
        <w:t>B</w:t>
      </w:r>
      <w:r w:rsidR="00835EF3">
        <w:rPr>
          <w:rFonts w:asciiTheme="majorHAnsi" w:hAnsiTheme="majorHAnsi" w:cstheme="majorHAnsi"/>
          <w:sz w:val="21"/>
          <w:szCs w:val="21"/>
        </w:rPr>
        <w:t>, patients exposed to Infliximab were significantly less likely to have protective HBsAg titre levels following vaccination.</w:t>
      </w:r>
      <w:r w:rsidR="00E45883">
        <w:rPr>
          <w:rFonts w:asciiTheme="majorHAnsi" w:hAnsiTheme="majorHAnsi" w:cstheme="majorHAnsi"/>
          <w:sz w:val="21"/>
          <w:szCs w:val="21"/>
        </w:rPr>
        <w:fldChar w:fldCharType="begin"/>
      </w:r>
      <w:r w:rsidR="00E45883">
        <w:rPr>
          <w:rFonts w:asciiTheme="majorHAnsi" w:hAnsiTheme="majorHAnsi" w:cstheme="majorHAnsi"/>
          <w:sz w:val="21"/>
          <w:szCs w:val="21"/>
        </w:rPr>
        <w:instrText xml:space="preserve"> ADDIN ZOTERO_ITEM CSL_CITATION {"citationID":"vun8sFUf","properties":{"formattedCitation":"(7)","plainCitation":"(7)","noteIndex":0},"citationItems":[{"id":28,"uris":["http://zotero.org/users/local/UFitRltR/items/3IVR94TT"],"uri":["http://zotero.org/users/local/UFitRltR/items/3IVR94TT"],"itemData":{"id":28,"type":"article-journal","abstract":"Studies have demonstrated an association between anti-TNF/immunomodulator agents used in inflammatory bowel disease (IBD) and impaired hepatitis B virus (HBV) vaccine immunogenicity, but little data exist on whether specific medication types affect protective HBsAb titers. Our aim was to analyze this association.This is a retrospective cohort study. Inclusion criteria: age ≥18, diagnosis of Crohn’s disease (CD) or ulcerative colitis (UC), previous HBV vaccination series and/or ≥1 positive HBsAb, and record of IBD therapy in 6 months before titer level. Patients were stratified based upon medication exposures: anti-TNF, immunomodulator, combination anti-TNF and immunomodulatory, and a reference arm. Titer levels following vaccination and specific medication types given in the 6 months before titer were recorded. Seroprotection was defined as HBsAb ≥10 IU/l and ≥100 IU/l.The study cohort (N = 391) was 70.8% white, 51.4% female and 64.2% had CD and 35.8% had UC. The mean age was 45.8 years. A significantly lower percentage of patients exposed to anti-TNF, immunomodulator or dual therapy had titers ≥10 (P &amp;lt; 0.01). Regarding specific medications, only patients exposed to infliximab (P &amp;lt; 0.01) were less likely to have titer levels ≥10, after controlling for other medication exposures, age at titer level, and interval time between vaccination/titer level. This was not found for patients exposed to adalimumab, methotrexate, 6-mercaptopurine, or azathioprine.Patients exposed to infliximab were significantly less likely to have protective HBsAb titer levels following vaccination, a trend not seen in patients on adalimumab. Efforts to vaccinate IBD patients against HBV before use of immunomodulators and anti-TNFs, infliximab specifically, and screen periodically thereafter must be reinforced.10.1093/ibd/izx001_video1izx001.video15721577734001","container-title":"Inflammatory Bowel Diseases","DOI":"10.1093/ibd/izx001","ISSN":"1078-0998","issue":"2","journalAbbreviation":"Inflammatory Bowel Diseases","page":"380-386","source":"Silverchair","title":"Antibody Response to Hepatitis B Virus Vaccine is Impaired in Patients With Inflammatory Bowel Disease on Infliximab Therapy","volume":"24","author":[{"family":"Pratt","given":"Perry K","suffix":"Jr"},{"family":"David","given":"Nunes"},{"family":"Weber","given":"Horst C"},{"family":"Little","given":"Frédéric F"},{"family":"Kourkoumpetis","given":"Themistoklis"},{"family":"Patts","given":"Gregory J"},{"family":"Weinberg","given":"Janice"},{"family":"Farraye","given":"Francis A"}],"issued":{"date-parts":[["2018",1,18]]}}}],"schema":"https://github.com/citation-style-language/schema/raw/master/csl-citation.json"} </w:instrText>
      </w:r>
      <w:r w:rsidR="00E45883">
        <w:rPr>
          <w:rFonts w:asciiTheme="majorHAnsi" w:hAnsiTheme="majorHAnsi" w:cstheme="majorHAnsi"/>
          <w:sz w:val="21"/>
          <w:szCs w:val="21"/>
        </w:rPr>
        <w:fldChar w:fldCharType="separate"/>
      </w:r>
      <w:r w:rsidR="00E45883">
        <w:rPr>
          <w:rFonts w:asciiTheme="majorHAnsi" w:hAnsiTheme="majorHAnsi" w:cstheme="majorHAnsi"/>
          <w:noProof/>
          <w:sz w:val="21"/>
          <w:szCs w:val="21"/>
        </w:rPr>
        <w:t>(7)</w:t>
      </w:r>
      <w:r w:rsidR="00E45883">
        <w:rPr>
          <w:rFonts w:asciiTheme="majorHAnsi" w:hAnsiTheme="majorHAnsi" w:cstheme="majorHAnsi"/>
          <w:sz w:val="21"/>
          <w:szCs w:val="21"/>
        </w:rPr>
        <w:fldChar w:fldCharType="end"/>
      </w:r>
      <w:r w:rsidR="00835EF3">
        <w:rPr>
          <w:rFonts w:asciiTheme="majorHAnsi" w:hAnsiTheme="majorHAnsi" w:cstheme="majorHAnsi"/>
          <w:sz w:val="21"/>
          <w:szCs w:val="21"/>
        </w:rPr>
        <w:t xml:space="preserve"> </w:t>
      </w:r>
      <w:r w:rsidR="00E45883">
        <w:rPr>
          <w:rFonts w:asciiTheme="majorHAnsi" w:hAnsiTheme="majorHAnsi" w:cstheme="majorHAnsi"/>
          <w:sz w:val="21"/>
          <w:szCs w:val="21"/>
        </w:rPr>
        <w:t>A similar association has been seen with Hepatitis A vaccination</w:t>
      </w:r>
      <w:r w:rsidR="00640066">
        <w:rPr>
          <w:rFonts w:asciiTheme="majorHAnsi" w:hAnsiTheme="majorHAnsi" w:cstheme="majorHAnsi"/>
          <w:sz w:val="21"/>
          <w:szCs w:val="21"/>
        </w:rPr>
        <w:t>, where the seroconversion rate is lower in patients receiving anti-TNF agents.</w:t>
      </w:r>
      <w:r w:rsidR="00640066">
        <w:rPr>
          <w:rFonts w:asciiTheme="majorHAnsi" w:hAnsiTheme="majorHAnsi" w:cstheme="majorHAnsi"/>
          <w:sz w:val="21"/>
          <w:szCs w:val="21"/>
        </w:rPr>
        <w:fldChar w:fldCharType="begin"/>
      </w:r>
      <w:r w:rsidR="00640066">
        <w:rPr>
          <w:rFonts w:asciiTheme="majorHAnsi" w:hAnsiTheme="majorHAnsi" w:cstheme="majorHAnsi"/>
          <w:sz w:val="21"/>
          <w:szCs w:val="21"/>
        </w:rPr>
        <w:instrText xml:space="preserve"> ADDIN ZOTERO_ITEM CSL_CITATION {"citationID":"PBu7giqw","properties":{"formattedCitation":"(8)","plainCitation":"(8)","noteIndex":0},"citationItems":[{"id":25,"uris":["http://zotero.org/users/local/UFitRltR/items/QDU3J6HW"],"uri":["http://zotero.org/users/local/UFitRltR/items/QDU3J6HW"],"itemData":{"id":25,"type":"article-journal","abstract":"Little is known about the immune response to hepatitis A virus (HAV) vaccinations in patients with inflammatory bowel disease (IBD). We therefore assessed the immunogenicity of HAV vaccine in patients with IBD and evaluated the impact on vaccination efficacy of immunosuppressants, including corticosteroids, thiopurines, and anti–tumor necrosis factor (anti-TNF) agents.This open prospective study evaluated the efficacy of HAV vaccination in 419 anti–HAV-negative adult patients with IBD. Patients were vaccinated against HAV at 0 and 6 to 12 months, with seroconversion (anti-HAV immunoglobulin G) measured 1 to 3 months after the second dose.Of the 419 vaccinated patients who finished the study protocol (mean age, 26.9 yr), 355 (84.7%) had Crohn's disease and 64 (15.3%) had ulcerative colitis. The overall seroconversion rate was 97.6% (409/419) but was significantly lower in patients treated with the anti-TNF monoclonal antibody infliximab or adalimumab than in those not treated (92.4% [85/92] versus 99.1% [324/327], P = 0.001). In addition, the seroconversion rate was significantly lower in patients treated with ≥2 than with &amp;lt;2 immunosuppressants (92.6% [50/54] versus 98.4% [359/365], P = 0.03). When comparing anti-TNF alone with anti-TNF and other immunosuppressants, there was no significant difference in seroconversion rates (odds ratio, 1.2; 95% confidence interval, 0.2–5.6; P = 0.83). The sample/cutoff ratio was significantly lower in patients who did receive anti-TNF therapy than in those who did not (5.5 versus 9.6; P &amp;lt; 0.001).Although HAV vaccination is generally effective in patients with IBD, the seroconversion rate is lower in patients receiving anti-TNF agents (ClinicalTrials.gov registration number NCT01341808).","container-title":"Inflammatory Bowel Diseases","DOI":"10.1097/01.MIB.0000437736.91712.a1","ISSN":"1078-0998","issue":"1","journalAbbreviation":"Inflammatory Bowel Diseases","page":"69-74","source":"Silverchair","title":"Efficacy of Hepatitis A Vaccination and Factors Impacting on Seroconversion in Patients with Inflammatory Bowel Disease","volume":"20","author":[{"family":"Park","given":"Sang Hyoung"},{"family":"Yang","given":"Suk-Kyun"},{"family":"Park","given":"Soo-Kyung"},{"family":"Kim","given":"Jong Wook"},{"family":"Yang","given":"Dong-Hoon"},{"family":"Jung","given":"Kee Wook"},{"family":"Kim","given":"Kyung-Jo"},{"family":"Ye","given":"Byong Duk"},{"family":"Byeon","given":"Jeong-Sik"},{"family":"Myung","given":"Seung-Jae"},{"family":"Kim","given":"Jin-Ho"}],"issued":{"date-parts":[["2014",1,1]]}}}],"schema":"https://github.com/citation-style-language/schema/raw/master/csl-citation.json"} </w:instrText>
      </w:r>
      <w:r w:rsidR="00640066">
        <w:rPr>
          <w:rFonts w:asciiTheme="majorHAnsi" w:hAnsiTheme="majorHAnsi" w:cstheme="majorHAnsi"/>
          <w:sz w:val="21"/>
          <w:szCs w:val="21"/>
        </w:rPr>
        <w:fldChar w:fldCharType="separate"/>
      </w:r>
      <w:r w:rsidR="00640066">
        <w:rPr>
          <w:rFonts w:asciiTheme="majorHAnsi" w:hAnsiTheme="majorHAnsi" w:cstheme="majorHAnsi"/>
          <w:noProof/>
          <w:sz w:val="21"/>
          <w:szCs w:val="21"/>
        </w:rPr>
        <w:t>(8)</w:t>
      </w:r>
      <w:r w:rsidR="00640066">
        <w:rPr>
          <w:rFonts w:asciiTheme="majorHAnsi" w:hAnsiTheme="majorHAnsi" w:cstheme="majorHAnsi"/>
          <w:sz w:val="21"/>
          <w:szCs w:val="21"/>
        </w:rPr>
        <w:fldChar w:fldCharType="end"/>
      </w:r>
    </w:p>
    <w:p w14:paraId="684567A1" w14:textId="77777777" w:rsidR="00E45883" w:rsidRDefault="00E45883" w:rsidP="003E1EDB">
      <w:pPr>
        <w:rPr>
          <w:rFonts w:asciiTheme="majorHAnsi" w:hAnsiTheme="majorHAnsi" w:cstheme="majorHAnsi"/>
          <w:sz w:val="21"/>
          <w:szCs w:val="21"/>
        </w:rPr>
      </w:pPr>
    </w:p>
    <w:p w14:paraId="5FA4478B" w14:textId="6904AED6" w:rsidR="003A2030" w:rsidRDefault="00291593" w:rsidP="003E1EDB">
      <w:pPr>
        <w:rPr>
          <w:rFonts w:asciiTheme="majorHAnsi" w:hAnsiTheme="majorHAnsi" w:cstheme="majorHAnsi"/>
          <w:sz w:val="21"/>
          <w:szCs w:val="21"/>
        </w:rPr>
      </w:pPr>
      <w:r>
        <w:rPr>
          <w:rFonts w:asciiTheme="majorHAnsi" w:hAnsiTheme="majorHAnsi" w:cstheme="majorHAnsi"/>
          <w:sz w:val="21"/>
          <w:szCs w:val="21"/>
        </w:rPr>
        <w:t>Given the</w:t>
      </w:r>
      <w:r w:rsidR="002656CC">
        <w:rPr>
          <w:rFonts w:asciiTheme="majorHAnsi" w:hAnsiTheme="majorHAnsi" w:cstheme="majorHAnsi"/>
          <w:sz w:val="21"/>
          <w:szCs w:val="21"/>
        </w:rPr>
        <w:t xml:space="preserve"> </w:t>
      </w:r>
      <w:r>
        <w:rPr>
          <w:rFonts w:asciiTheme="majorHAnsi" w:hAnsiTheme="majorHAnsi" w:cstheme="majorHAnsi"/>
          <w:sz w:val="21"/>
          <w:szCs w:val="21"/>
        </w:rPr>
        <w:t xml:space="preserve">current lack of data to </w:t>
      </w:r>
      <w:r w:rsidR="002656CC">
        <w:rPr>
          <w:rFonts w:asciiTheme="majorHAnsi" w:hAnsiTheme="majorHAnsi" w:cstheme="majorHAnsi"/>
          <w:sz w:val="21"/>
          <w:szCs w:val="21"/>
        </w:rPr>
        <w:t>inform whether patients on immunosuppress</w:t>
      </w:r>
      <w:r w:rsidR="00C2654B">
        <w:rPr>
          <w:rFonts w:asciiTheme="majorHAnsi" w:hAnsiTheme="majorHAnsi" w:cstheme="majorHAnsi"/>
          <w:sz w:val="21"/>
          <w:szCs w:val="21"/>
        </w:rPr>
        <w:t>ant</w:t>
      </w:r>
      <w:r w:rsidR="002656CC">
        <w:rPr>
          <w:rFonts w:asciiTheme="majorHAnsi" w:hAnsiTheme="majorHAnsi" w:cstheme="majorHAnsi"/>
          <w:sz w:val="21"/>
          <w:szCs w:val="21"/>
        </w:rPr>
        <w:t xml:space="preserve"> </w:t>
      </w:r>
      <w:r>
        <w:rPr>
          <w:rFonts w:asciiTheme="majorHAnsi" w:hAnsiTheme="majorHAnsi" w:cstheme="majorHAnsi"/>
          <w:sz w:val="21"/>
          <w:szCs w:val="21"/>
        </w:rPr>
        <w:t xml:space="preserve">therapy for IBD </w:t>
      </w:r>
      <w:r w:rsidR="002656CC">
        <w:rPr>
          <w:rFonts w:asciiTheme="majorHAnsi" w:hAnsiTheme="majorHAnsi" w:cstheme="majorHAnsi"/>
          <w:sz w:val="21"/>
          <w:szCs w:val="21"/>
        </w:rPr>
        <w:t xml:space="preserve">have a suboptimal response </w:t>
      </w:r>
      <w:r>
        <w:rPr>
          <w:rFonts w:asciiTheme="majorHAnsi" w:hAnsiTheme="majorHAnsi" w:cstheme="majorHAnsi"/>
          <w:sz w:val="21"/>
          <w:szCs w:val="21"/>
        </w:rPr>
        <w:t>to Covid-19 vaccination, it is advised that patients continue taking their regular immunosuppressant medication</w:t>
      </w:r>
      <w:r w:rsidR="00AA762A">
        <w:rPr>
          <w:rFonts w:asciiTheme="majorHAnsi" w:hAnsiTheme="majorHAnsi" w:cstheme="majorHAnsi"/>
          <w:sz w:val="21"/>
          <w:szCs w:val="21"/>
        </w:rPr>
        <w:t xml:space="preserve"> to reduce the likelihood of a flare of the</w:t>
      </w:r>
      <w:r w:rsidR="00C2654B">
        <w:rPr>
          <w:rFonts w:asciiTheme="majorHAnsi" w:hAnsiTheme="majorHAnsi" w:cstheme="majorHAnsi"/>
          <w:sz w:val="21"/>
          <w:szCs w:val="21"/>
        </w:rPr>
        <w:t>ir</w:t>
      </w:r>
      <w:r w:rsidR="00AA762A">
        <w:rPr>
          <w:rFonts w:asciiTheme="majorHAnsi" w:hAnsiTheme="majorHAnsi" w:cstheme="majorHAnsi"/>
          <w:sz w:val="21"/>
          <w:szCs w:val="21"/>
        </w:rPr>
        <w:t xml:space="preserve"> </w:t>
      </w:r>
      <w:r w:rsidR="00F11E34">
        <w:rPr>
          <w:rFonts w:asciiTheme="majorHAnsi" w:hAnsiTheme="majorHAnsi" w:cstheme="majorHAnsi"/>
          <w:sz w:val="21"/>
          <w:szCs w:val="21"/>
        </w:rPr>
        <w:t>C</w:t>
      </w:r>
      <w:r w:rsidR="00AA762A">
        <w:rPr>
          <w:rFonts w:asciiTheme="majorHAnsi" w:hAnsiTheme="majorHAnsi" w:cstheme="majorHAnsi"/>
          <w:sz w:val="21"/>
          <w:szCs w:val="21"/>
        </w:rPr>
        <w:t>rohn’s or colitis.</w:t>
      </w:r>
    </w:p>
    <w:p w14:paraId="3E552354" w14:textId="633920AF" w:rsidR="0079225C" w:rsidRDefault="0079225C" w:rsidP="003E1EDB">
      <w:pPr>
        <w:rPr>
          <w:rFonts w:asciiTheme="majorHAnsi" w:hAnsiTheme="majorHAnsi" w:cstheme="majorHAnsi"/>
          <w:sz w:val="21"/>
          <w:szCs w:val="21"/>
        </w:rPr>
      </w:pPr>
    </w:p>
    <w:p w14:paraId="21C343B2" w14:textId="56427B43" w:rsidR="0079225C" w:rsidRDefault="0079225C" w:rsidP="003E1EDB">
      <w:pPr>
        <w:rPr>
          <w:rFonts w:asciiTheme="majorHAnsi" w:hAnsiTheme="majorHAnsi" w:cstheme="majorHAnsi"/>
          <w:sz w:val="21"/>
          <w:szCs w:val="21"/>
        </w:rPr>
      </w:pPr>
      <w:r w:rsidRPr="009962DB">
        <w:rPr>
          <w:rFonts w:asciiTheme="majorHAnsi" w:hAnsiTheme="majorHAnsi" w:cstheme="majorHAnsi"/>
          <w:sz w:val="21"/>
          <w:szCs w:val="21"/>
        </w:rPr>
        <w:t xml:space="preserve">The risks of SARs-CoV2 vaccination in patients with IBD is anticipated to be very low. Patients with IBD will have questions and concerns regarding vaccination, in particular the safety profile of vaccination. At this stage there </w:t>
      </w:r>
      <w:r w:rsidR="00BE31F4">
        <w:rPr>
          <w:rFonts w:asciiTheme="majorHAnsi" w:hAnsiTheme="majorHAnsi" w:cstheme="majorHAnsi"/>
          <w:sz w:val="21"/>
          <w:szCs w:val="21"/>
        </w:rPr>
        <w:t>are</w:t>
      </w:r>
      <w:r w:rsidRPr="009962DB">
        <w:rPr>
          <w:rFonts w:asciiTheme="majorHAnsi" w:hAnsiTheme="majorHAnsi" w:cstheme="majorHAnsi"/>
          <w:sz w:val="21"/>
          <w:szCs w:val="21"/>
        </w:rPr>
        <w:t xml:space="preserve"> no specific data related to vaccination in patients with IBD to address these concerns, however there are several factors that can offer reassurance.</w:t>
      </w:r>
      <w:r>
        <w:rPr>
          <w:rFonts w:asciiTheme="majorHAnsi" w:hAnsiTheme="majorHAnsi" w:cstheme="majorHAnsi"/>
          <w:sz w:val="21"/>
          <w:szCs w:val="21"/>
        </w:rPr>
        <w:t xml:space="preserve">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Pr>
          <w:rFonts w:asciiTheme="majorHAnsi" w:hAnsiTheme="majorHAnsi" w:cstheme="majorHAnsi"/>
          <w:sz w:val="21"/>
          <w:szCs w:val="21"/>
        </w:rPr>
        <w:t>-19 vaccines are being held to the same safety standards as all vaccines approved in New Zealand</w:t>
      </w:r>
      <w:r w:rsidR="00D373DD">
        <w:rPr>
          <w:rFonts w:asciiTheme="majorHAnsi" w:hAnsiTheme="majorHAnsi" w:cstheme="majorHAnsi"/>
          <w:sz w:val="21"/>
          <w:szCs w:val="21"/>
        </w:rPr>
        <w:fldChar w:fldCharType="begin"/>
      </w:r>
      <w:r w:rsidR="007850DE">
        <w:rPr>
          <w:rFonts w:asciiTheme="majorHAnsi" w:hAnsiTheme="majorHAnsi" w:cstheme="majorHAnsi"/>
          <w:sz w:val="21"/>
          <w:szCs w:val="21"/>
        </w:rPr>
        <w:instrText xml:space="preserve"> ADDIN ZOTERO_ITEM CSL_CITATION {"citationID":"7nvuwY5k","properties":{"formattedCitation":"(5)","plainCitation":"(5)","dontUpdate":true,"noteIndex":0},"citationItems":[{"id":7,"uris":["http://zotero.org/users/local/UFitRltR/items/RBRYFFZ4"],"uri":["http://zotero.org/users/local/UFitRltR/items/RBRYFFZ4"],"itemData":{"id":7,"type":"webpage","abstract":"New Zealand is developing a COVID-19 vaccine programme, to start in 2021. The frequently asked questions and resources below aim to provide some initial information. As the situation is changing daily, we will keep this page as up to date as we can. Note the date of last changes is at the bottom of the page. COVID-19 vaccines: Frequently asked questions General Are COVID-19 vaccines going to be compulsory in New Zealand? No. The New Zealand Government has stated that COVID-19 vaccination WILL NOT be compulsory. Which COVID-19 vaccines are likely to be available for New Zealanders?","container-title":"Immunisation Advisory Centre","language":"en","title":"COVID-19 vaccines","URL":"https://www.immune.org.nz/covid-19-vaccines","accessed":{"date-parts":[["2021",2,20]]},"issued":{"date-parts":[["2020",12,16]]}}}],"schema":"https://github.com/citation-style-language/schema/raw/master/csl-citation.json"} </w:instrText>
      </w:r>
      <w:r w:rsidR="00D373DD">
        <w:rPr>
          <w:rFonts w:asciiTheme="majorHAnsi" w:hAnsiTheme="majorHAnsi" w:cstheme="majorHAnsi"/>
          <w:sz w:val="21"/>
          <w:szCs w:val="21"/>
        </w:rPr>
        <w:fldChar w:fldCharType="separate"/>
      </w:r>
      <w:r w:rsidR="007850DE">
        <w:rPr>
          <w:rFonts w:asciiTheme="majorHAnsi" w:hAnsiTheme="majorHAnsi" w:cstheme="majorHAnsi"/>
          <w:noProof/>
          <w:sz w:val="21"/>
          <w:szCs w:val="21"/>
        </w:rPr>
        <w:t>(6)</w:t>
      </w:r>
      <w:r w:rsidR="00D373DD">
        <w:rPr>
          <w:rFonts w:asciiTheme="majorHAnsi" w:hAnsiTheme="majorHAnsi" w:cstheme="majorHAnsi"/>
          <w:sz w:val="21"/>
          <w:szCs w:val="21"/>
        </w:rPr>
        <w:fldChar w:fldCharType="end"/>
      </w:r>
      <w:r>
        <w:rPr>
          <w:rFonts w:asciiTheme="majorHAnsi" w:hAnsiTheme="majorHAnsi" w:cstheme="majorHAnsi"/>
          <w:sz w:val="21"/>
          <w:szCs w:val="21"/>
        </w:rPr>
        <w:t>. Internationally, t</w:t>
      </w:r>
      <w:r w:rsidRPr="009962DB">
        <w:rPr>
          <w:rFonts w:asciiTheme="majorHAnsi" w:hAnsiTheme="majorHAnsi" w:cstheme="majorHAnsi"/>
          <w:sz w:val="21"/>
          <w:szCs w:val="21"/>
        </w:rPr>
        <w:t>he SARS-CoV2 vaccinations have been tested in tens of thousands of patients with safety profiles comparable to other vaccine</w:t>
      </w:r>
      <w:r w:rsidR="00303742">
        <w:rPr>
          <w:rFonts w:asciiTheme="majorHAnsi" w:hAnsiTheme="majorHAnsi" w:cstheme="majorHAnsi"/>
          <w:sz w:val="21"/>
          <w:szCs w:val="21"/>
        </w:rPr>
        <w:t xml:space="preserve">s </w:t>
      </w:r>
      <w:r w:rsidRPr="009962DB">
        <w:rPr>
          <w:rFonts w:asciiTheme="majorHAnsi" w:hAnsiTheme="majorHAnsi" w:cstheme="majorHAnsi"/>
          <w:sz w:val="21"/>
          <w:szCs w:val="21"/>
        </w:rPr>
        <w:t>commonly used in IBD patients.</w:t>
      </w:r>
      <w:r>
        <w:rPr>
          <w:rFonts w:asciiTheme="majorHAnsi" w:hAnsiTheme="majorHAnsi" w:cstheme="majorHAnsi"/>
          <w:sz w:val="21"/>
          <w:szCs w:val="21"/>
        </w:rPr>
        <w:t xml:space="preserve"> These vaccines may have been produced quickly, however we can be confident that no shortcuts with regards to safety have been taken.</w:t>
      </w:r>
    </w:p>
    <w:p w14:paraId="2FAFCE66" w14:textId="77777777" w:rsidR="00D4005F" w:rsidRPr="009962DB" w:rsidRDefault="00D4005F" w:rsidP="003E1EDB">
      <w:pPr>
        <w:rPr>
          <w:rFonts w:asciiTheme="majorHAnsi" w:hAnsiTheme="majorHAnsi" w:cstheme="majorHAnsi"/>
          <w:sz w:val="21"/>
          <w:szCs w:val="21"/>
        </w:rPr>
      </w:pPr>
    </w:p>
    <w:p w14:paraId="4717DAC8" w14:textId="7931156D" w:rsidR="004335A7" w:rsidRPr="009962DB" w:rsidRDefault="004335A7" w:rsidP="003E1EDB">
      <w:pPr>
        <w:rPr>
          <w:rFonts w:asciiTheme="majorHAnsi" w:hAnsiTheme="majorHAnsi" w:cstheme="majorHAnsi"/>
          <w:sz w:val="21"/>
          <w:szCs w:val="21"/>
        </w:rPr>
      </w:pPr>
    </w:p>
    <w:p w14:paraId="7F99A2C6" w14:textId="1F622D5E" w:rsidR="00F53B5E" w:rsidRDefault="00C262A1" w:rsidP="005141A3">
      <w:pPr>
        <w:rPr>
          <w:rFonts w:asciiTheme="majorHAnsi" w:hAnsiTheme="majorHAnsi" w:cstheme="majorHAnsi"/>
          <w:b/>
          <w:bCs/>
          <w:sz w:val="21"/>
          <w:szCs w:val="21"/>
        </w:rPr>
      </w:pPr>
      <w:r>
        <w:rPr>
          <w:rFonts w:asciiTheme="majorHAnsi" w:hAnsiTheme="majorHAnsi" w:cstheme="majorHAnsi"/>
          <w:b/>
          <w:bCs/>
          <w:sz w:val="21"/>
          <w:szCs w:val="21"/>
        </w:rPr>
        <w:t>Special Groups</w:t>
      </w:r>
    </w:p>
    <w:p w14:paraId="147322C7" w14:textId="2009E58A" w:rsidR="00C262A1" w:rsidRDefault="00C262A1" w:rsidP="005141A3">
      <w:pPr>
        <w:rPr>
          <w:rFonts w:asciiTheme="majorHAnsi" w:hAnsiTheme="majorHAnsi" w:cstheme="majorHAnsi"/>
          <w:b/>
          <w:bCs/>
          <w:sz w:val="21"/>
          <w:szCs w:val="21"/>
        </w:rPr>
      </w:pPr>
    </w:p>
    <w:p w14:paraId="36B7B048" w14:textId="7ABF550B" w:rsidR="00C262A1" w:rsidRPr="00F14A53" w:rsidRDefault="00C262A1" w:rsidP="005141A3">
      <w:pPr>
        <w:rPr>
          <w:rFonts w:asciiTheme="majorHAnsi" w:hAnsiTheme="majorHAnsi" w:cstheme="majorHAnsi"/>
          <w:b/>
          <w:bCs/>
          <w:sz w:val="21"/>
          <w:szCs w:val="21"/>
        </w:rPr>
      </w:pPr>
      <w:r w:rsidRPr="00F14A53">
        <w:rPr>
          <w:rFonts w:asciiTheme="majorHAnsi" w:hAnsiTheme="majorHAnsi" w:cstheme="majorHAnsi"/>
          <w:b/>
          <w:bCs/>
          <w:sz w:val="21"/>
          <w:szCs w:val="21"/>
        </w:rPr>
        <w:t>Pregnancy and Breast-Feeding</w:t>
      </w:r>
    </w:p>
    <w:p w14:paraId="79B3CBA0" w14:textId="4F7F9820" w:rsidR="004160EF" w:rsidRDefault="006C39E5" w:rsidP="00064BBD">
      <w:pPr>
        <w:rPr>
          <w:rFonts w:asciiTheme="majorHAnsi" w:hAnsiTheme="majorHAnsi" w:cstheme="majorHAnsi"/>
          <w:sz w:val="21"/>
          <w:szCs w:val="21"/>
        </w:rPr>
      </w:pPr>
      <w:r>
        <w:rPr>
          <w:rFonts w:asciiTheme="majorHAnsi" w:hAnsiTheme="majorHAnsi" w:cstheme="majorHAnsi"/>
          <w:sz w:val="21"/>
          <w:szCs w:val="21"/>
        </w:rPr>
        <w:lastRenderedPageBreak/>
        <w:t xml:space="preserve">There </w:t>
      </w:r>
      <w:r w:rsidR="00BE31F4">
        <w:rPr>
          <w:rFonts w:asciiTheme="majorHAnsi" w:hAnsiTheme="majorHAnsi" w:cstheme="majorHAnsi"/>
          <w:sz w:val="21"/>
          <w:szCs w:val="21"/>
        </w:rPr>
        <w:t>are</w:t>
      </w:r>
      <w:r>
        <w:rPr>
          <w:rFonts w:asciiTheme="majorHAnsi" w:hAnsiTheme="majorHAnsi" w:cstheme="majorHAnsi"/>
          <w:sz w:val="21"/>
          <w:szCs w:val="21"/>
        </w:rPr>
        <w:t xml:space="preserve"> currently only limited data on the safety of </w:t>
      </w:r>
      <w:r w:rsidR="00E40BA0" w:rsidRPr="009962DB">
        <w:rPr>
          <w:rFonts w:asciiTheme="majorHAnsi" w:hAnsiTheme="majorHAnsi" w:cstheme="majorHAnsi"/>
          <w:sz w:val="21"/>
          <w:szCs w:val="21"/>
        </w:rPr>
        <w:t>C</w:t>
      </w:r>
      <w:r w:rsidR="00E40BA0">
        <w:rPr>
          <w:rFonts w:asciiTheme="majorHAnsi" w:hAnsiTheme="majorHAnsi" w:cstheme="majorHAnsi"/>
          <w:sz w:val="21"/>
          <w:szCs w:val="21"/>
        </w:rPr>
        <w:t>OVID</w:t>
      </w:r>
      <w:r>
        <w:rPr>
          <w:rFonts w:asciiTheme="majorHAnsi" w:hAnsiTheme="majorHAnsi" w:cstheme="majorHAnsi"/>
          <w:sz w:val="21"/>
          <w:szCs w:val="21"/>
        </w:rPr>
        <w:t xml:space="preserve">-19 vaccination in pregnancy and lactation. Internationally, </w:t>
      </w:r>
      <w:r w:rsidR="00BE31F4">
        <w:rPr>
          <w:rFonts w:asciiTheme="majorHAnsi" w:hAnsiTheme="majorHAnsi" w:cstheme="majorHAnsi"/>
          <w:sz w:val="21"/>
          <w:szCs w:val="21"/>
        </w:rPr>
        <w:t xml:space="preserve">the approach has been that </w:t>
      </w:r>
      <w:r>
        <w:rPr>
          <w:rFonts w:asciiTheme="majorHAnsi" w:hAnsiTheme="majorHAnsi" w:cstheme="majorHAnsi"/>
          <w:sz w:val="21"/>
          <w:szCs w:val="21"/>
        </w:rPr>
        <w:t>a pregnant or lactating person may choose to be vaccinated after considering the risks and benefit and/or consulting with a healthcare profession</w:t>
      </w:r>
      <w:r w:rsidR="00F14A53">
        <w:rPr>
          <w:rFonts w:asciiTheme="majorHAnsi" w:hAnsiTheme="majorHAnsi" w:cstheme="majorHAnsi"/>
          <w:sz w:val="21"/>
          <w:szCs w:val="21"/>
        </w:rPr>
        <w:t>al.</w:t>
      </w:r>
      <w:r w:rsidR="008D32C2">
        <w:rPr>
          <w:rFonts w:asciiTheme="majorHAnsi" w:hAnsiTheme="majorHAnsi" w:cstheme="majorHAnsi"/>
          <w:sz w:val="21"/>
          <w:szCs w:val="21"/>
        </w:rPr>
        <w:fldChar w:fldCharType="begin"/>
      </w:r>
      <w:r w:rsidR="007850DE">
        <w:rPr>
          <w:rFonts w:asciiTheme="majorHAnsi" w:hAnsiTheme="majorHAnsi" w:cstheme="majorHAnsi"/>
          <w:sz w:val="21"/>
          <w:szCs w:val="21"/>
        </w:rPr>
        <w:instrText xml:space="preserve"> ADDIN ZOTERO_ITEM CSL_CITATION {"citationID":"5sNpbfkk","properties":{"formattedCitation":"(5)","plainCitation":"(5)","dontUpdate":true,"noteIndex":0},"citationItems":[{"id":7,"uris":["http://zotero.org/users/local/UFitRltR/items/RBRYFFZ4"],"uri":["http://zotero.org/users/local/UFitRltR/items/RBRYFFZ4"],"itemData":{"id":7,"type":"webpage","abstract":"New Zealand is developing a COVID-19 vaccine programme, to start in 2021. The frequently asked questions and resources below aim to provide some initial information. As the situation is changing daily, we will keep this page as up to date as we can. Note the date of last changes is at the bottom of the page. COVID-19 vaccines: Frequently asked questions General Are COVID-19 vaccines going to be compulsory in New Zealand? No. The New Zealand Government has stated that COVID-19 vaccination WILL NOT be compulsory. Which COVID-19 vaccines are likely to be available for New Zealanders?","container-title":"Immunisation Advisory Centre","language":"en","title":"COVID-19 vaccines","URL":"https://www.immune.org.nz/covid-19-vaccines","accessed":{"date-parts":[["2021",2,20]]},"issued":{"date-parts":[["2020",12,16]]}}}],"schema":"https://github.com/citation-style-language/schema/raw/master/csl-citation.json"} </w:instrText>
      </w:r>
      <w:r w:rsidR="008D32C2">
        <w:rPr>
          <w:rFonts w:asciiTheme="majorHAnsi" w:hAnsiTheme="majorHAnsi" w:cstheme="majorHAnsi"/>
          <w:sz w:val="21"/>
          <w:szCs w:val="21"/>
        </w:rPr>
        <w:fldChar w:fldCharType="separate"/>
      </w:r>
      <w:r w:rsidR="007850DE">
        <w:rPr>
          <w:rFonts w:asciiTheme="majorHAnsi" w:hAnsiTheme="majorHAnsi" w:cstheme="majorHAnsi"/>
          <w:noProof/>
          <w:sz w:val="21"/>
          <w:szCs w:val="21"/>
        </w:rPr>
        <w:t>(6)</w:t>
      </w:r>
      <w:r w:rsidR="008D32C2">
        <w:rPr>
          <w:rFonts w:asciiTheme="majorHAnsi" w:hAnsiTheme="majorHAnsi" w:cstheme="majorHAnsi"/>
          <w:sz w:val="21"/>
          <w:szCs w:val="21"/>
        </w:rPr>
        <w:fldChar w:fldCharType="end"/>
      </w:r>
    </w:p>
    <w:p w14:paraId="02BE0DC1" w14:textId="77777777" w:rsidR="00064BBD" w:rsidRPr="00064BBD" w:rsidRDefault="00064BBD" w:rsidP="00064BBD">
      <w:pPr>
        <w:rPr>
          <w:rFonts w:asciiTheme="majorHAnsi" w:hAnsiTheme="majorHAnsi" w:cstheme="majorHAnsi"/>
          <w:sz w:val="21"/>
          <w:szCs w:val="21"/>
        </w:rPr>
      </w:pPr>
    </w:p>
    <w:p w14:paraId="035BDC04" w14:textId="2F4701A2" w:rsidR="00F14A53" w:rsidRDefault="00F14A53" w:rsidP="00F14A53">
      <w:pPr>
        <w:rPr>
          <w:rFonts w:asciiTheme="majorHAnsi" w:hAnsiTheme="majorHAnsi" w:cstheme="majorHAnsi"/>
          <w:b/>
          <w:bCs/>
          <w:sz w:val="21"/>
          <w:szCs w:val="21"/>
        </w:rPr>
      </w:pPr>
      <w:r>
        <w:rPr>
          <w:rFonts w:asciiTheme="majorHAnsi" w:hAnsiTheme="majorHAnsi" w:cstheme="majorHAnsi"/>
          <w:b/>
          <w:bCs/>
          <w:sz w:val="21"/>
          <w:szCs w:val="21"/>
        </w:rPr>
        <w:t>Those under the age of 16</w:t>
      </w:r>
    </w:p>
    <w:p w14:paraId="2E9975C5" w14:textId="08056C80" w:rsidR="003A5E65" w:rsidRDefault="00C207DC" w:rsidP="005141A3">
      <w:pPr>
        <w:rPr>
          <w:rFonts w:asciiTheme="majorHAnsi" w:hAnsiTheme="majorHAnsi" w:cstheme="majorHAnsi"/>
          <w:sz w:val="21"/>
          <w:szCs w:val="21"/>
        </w:rPr>
      </w:pPr>
      <w:r>
        <w:rPr>
          <w:rFonts w:asciiTheme="majorHAnsi" w:hAnsiTheme="majorHAnsi" w:cstheme="majorHAnsi"/>
          <w:sz w:val="21"/>
          <w:szCs w:val="21"/>
        </w:rPr>
        <w:t>The currently approved Pfizer/BioNTech vaccination is not approved for use in those under age 1</w:t>
      </w:r>
      <w:r w:rsidR="005605DF">
        <w:rPr>
          <w:rFonts w:asciiTheme="majorHAnsi" w:hAnsiTheme="majorHAnsi" w:cstheme="majorHAnsi"/>
          <w:sz w:val="21"/>
          <w:szCs w:val="21"/>
        </w:rPr>
        <w:t>6</w:t>
      </w:r>
      <w:r w:rsidR="0039742F">
        <w:rPr>
          <w:rFonts w:asciiTheme="majorHAnsi" w:hAnsiTheme="majorHAnsi" w:cstheme="majorHAnsi"/>
          <w:sz w:val="21"/>
          <w:szCs w:val="21"/>
        </w:rPr>
        <w:fldChar w:fldCharType="begin"/>
      </w:r>
      <w:r w:rsidR="007850DE">
        <w:rPr>
          <w:rFonts w:asciiTheme="majorHAnsi" w:hAnsiTheme="majorHAnsi" w:cstheme="majorHAnsi"/>
          <w:sz w:val="21"/>
          <w:szCs w:val="21"/>
        </w:rPr>
        <w:instrText xml:space="preserve"> ADDIN ZOTERO_ITEM CSL_CITATION {"citationID":"gJyPLTha","properties":{"formattedCitation":"(4)","plainCitation":"(4)","noteIndex":0},"citationItems":[{"id":13,"uris":["http://zotero.org/users/local/UFitRltR/items/QJKB9Z2Z"],"uri":["http://zotero.org/users/local/UFitRltR/items/QJKB9Z2Z"],"itemData":{"id":13,"type":"webpage","title":"COVID-19 Vaccine Status of Applications","URL":"https://www.medsafe.govt.nz/COVID-19/status-of-applications.asp","accessed":{"date-parts":[["2021",2,20]]}}}],"schema":"https://github.com/citation-style-language/schema/raw/master/csl-citation.json"} </w:instrText>
      </w:r>
      <w:r w:rsidR="0039742F">
        <w:rPr>
          <w:rFonts w:asciiTheme="majorHAnsi" w:hAnsiTheme="majorHAnsi" w:cstheme="majorHAnsi"/>
          <w:sz w:val="21"/>
          <w:szCs w:val="21"/>
        </w:rPr>
        <w:fldChar w:fldCharType="separate"/>
      </w:r>
      <w:r w:rsidR="007850DE">
        <w:rPr>
          <w:rFonts w:asciiTheme="majorHAnsi" w:hAnsiTheme="majorHAnsi" w:cstheme="majorHAnsi"/>
          <w:noProof/>
          <w:sz w:val="21"/>
          <w:szCs w:val="21"/>
        </w:rPr>
        <w:t>(4)</w:t>
      </w:r>
      <w:r w:rsidR="0039742F">
        <w:rPr>
          <w:rFonts w:asciiTheme="majorHAnsi" w:hAnsiTheme="majorHAnsi" w:cstheme="majorHAnsi"/>
          <w:sz w:val="21"/>
          <w:szCs w:val="21"/>
        </w:rPr>
        <w:fldChar w:fldCharType="end"/>
      </w:r>
      <w:r w:rsidR="00C8485B">
        <w:rPr>
          <w:rFonts w:asciiTheme="majorHAnsi" w:hAnsiTheme="majorHAnsi" w:cstheme="majorHAnsi"/>
          <w:sz w:val="21"/>
          <w:szCs w:val="21"/>
        </w:rPr>
        <w:t xml:space="preserve">, and overseas, </w:t>
      </w:r>
      <w:r w:rsidR="005E6AFA">
        <w:rPr>
          <w:rFonts w:asciiTheme="majorHAnsi" w:hAnsiTheme="majorHAnsi" w:cstheme="majorHAnsi"/>
          <w:sz w:val="21"/>
          <w:szCs w:val="21"/>
        </w:rPr>
        <w:t xml:space="preserve">none of the </w:t>
      </w:r>
      <w:r w:rsidR="007751BD">
        <w:rPr>
          <w:rFonts w:asciiTheme="majorHAnsi" w:hAnsiTheme="majorHAnsi" w:cstheme="majorHAnsi"/>
          <w:sz w:val="21"/>
          <w:szCs w:val="21"/>
        </w:rPr>
        <w:t xml:space="preserve">above </w:t>
      </w:r>
      <w:r w:rsidR="005E6AFA">
        <w:rPr>
          <w:rFonts w:asciiTheme="majorHAnsi" w:hAnsiTheme="majorHAnsi" w:cstheme="majorHAnsi"/>
          <w:sz w:val="21"/>
          <w:szCs w:val="21"/>
        </w:rPr>
        <w:t xml:space="preserve">vaccinations </w:t>
      </w:r>
      <w:r w:rsidR="003A5E65">
        <w:rPr>
          <w:rFonts w:asciiTheme="majorHAnsi" w:hAnsiTheme="majorHAnsi" w:cstheme="majorHAnsi"/>
          <w:sz w:val="21"/>
          <w:szCs w:val="21"/>
        </w:rPr>
        <w:t>are</w:t>
      </w:r>
      <w:r w:rsidR="005E6AFA">
        <w:rPr>
          <w:rFonts w:asciiTheme="majorHAnsi" w:hAnsiTheme="majorHAnsi" w:cstheme="majorHAnsi"/>
          <w:sz w:val="21"/>
          <w:szCs w:val="21"/>
        </w:rPr>
        <w:t xml:space="preserve"> approved for use in children under age 16</w:t>
      </w:r>
      <w:r w:rsidR="00C8485B">
        <w:rPr>
          <w:rFonts w:asciiTheme="majorHAnsi" w:hAnsiTheme="majorHAnsi" w:cstheme="majorHAnsi"/>
          <w:sz w:val="21"/>
          <w:szCs w:val="21"/>
        </w:rPr>
        <w:t xml:space="preserve">. </w:t>
      </w:r>
      <w:r w:rsidR="00E40BA0">
        <w:rPr>
          <w:rFonts w:asciiTheme="majorHAnsi" w:hAnsiTheme="majorHAnsi" w:cstheme="majorHAnsi"/>
          <w:sz w:val="21"/>
          <w:szCs w:val="21"/>
        </w:rPr>
        <w:t xml:space="preserve">This is not due to any safety or efficacy concerns but due to the current lack of clinical data. </w:t>
      </w:r>
    </w:p>
    <w:p w14:paraId="49B2FB1B" w14:textId="77777777" w:rsidR="006422A5" w:rsidRDefault="006422A5" w:rsidP="005141A3">
      <w:pPr>
        <w:rPr>
          <w:rFonts w:asciiTheme="majorHAnsi" w:hAnsiTheme="majorHAnsi" w:cstheme="majorHAnsi"/>
          <w:sz w:val="21"/>
          <w:szCs w:val="21"/>
        </w:rPr>
      </w:pPr>
    </w:p>
    <w:p w14:paraId="1E89BD9D" w14:textId="4A08C692" w:rsidR="00D659C0" w:rsidRDefault="00D659C0" w:rsidP="005141A3">
      <w:pPr>
        <w:rPr>
          <w:rFonts w:asciiTheme="majorHAnsi" w:hAnsiTheme="majorHAnsi" w:cstheme="majorHAnsi"/>
          <w:sz w:val="21"/>
          <w:szCs w:val="21"/>
        </w:rPr>
      </w:pPr>
    </w:p>
    <w:p w14:paraId="7C3A41E6" w14:textId="797AADAF" w:rsidR="00E03547" w:rsidRPr="00485D22" w:rsidRDefault="00485D22" w:rsidP="005141A3">
      <w:pPr>
        <w:rPr>
          <w:rFonts w:asciiTheme="majorHAnsi" w:hAnsiTheme="majorHAnsi" w:cstheme="majorHAnsi"/>
          <w:b/>
          <w:bCs/>
          <w:sz w:val="21"/>
          <w:szCs w:val="21"/>
        </w:rPr>
      </w:pPr>
      <w:r w:rsidRPr="00485D22">
        <w:rPr>
          <w:rFonts w:asciiTheme="majorHAnsi" w:hAnsiTheme="majorHAnsi" w:cstheme="majorHAnsi"/>
          <w:b/>
          <w:bCs/>
          <w:sz w:val="21"/>
          <w:szCs w:val="21"/>
        </w:rPr>
        <w:t>Further information</w:t>
      </w:r>
    </w:p>
    <w:p w14:paraId="1F7ACEEB" w14:textId="2DEC9E52" w:rsidR="00485D22" w:rsidRDefault="00485D22" w:rsidP="005141A3">
      <w:pPr>
        <w:rPr>
          <w:rFonts w:asciiTheme="majorHAnsi" w:hAnsiTheme="majorHAnsi" w:cstheme="majorHAnsi"/>
          <w:sz w:val="21"/>
          <w:szCs w:val="21"/>
        </w:rPr>
      </w:pPr>
    </w:p>
    <w:p w14:paraId="3AE8DB8F" w14:textId="6CFBD4D8" w:rsidR="00485D22" w:rsidRPr="00485D22" w:rsidRDefault="00485D22" w:rsidP="00485D22">
      <w:pPr>
        <w:rPr>
          <w:rFonts w:asciiTheme="majorHAnsi" w:hAnsiTheme="majorHAnsi" w:cstheme="majorHAnsi"/>
          <w:sz w:val="21"/>
          <w:szCs w:val="21"/>
        </w:rPr>
      </w:pPr>
      <w:r w:rsidRPr="00485D22">
        <w:rPr>
          <w:rFonts w:asciiTheme="majorHAnsi" w:hAnsiTheme="majorHAnsi" w:cstheme="majorHAnsi"/>
          <w:sz w:val="21"/>
          <w:szCs w:val="21"/>
        </w:rPr>
        <w:t xml:space="preserve">The </w:t>
      </w:r>
      <w:r>
        <w:rPr>
          <w:rFonts w:asciiTheme="majorHAnsi" w:hAnsiTheme="majorHAnsi" w:cstheme="majorHAnsi"/>
          <w:sz w:val="21"/>
          <w:szCs w:val="21"/>
        </w:rPr>
        <w:t xml:space="preserve">NZ </w:t>
      </w:r>
      <w:r w:rsidRPr="00485D22">
        <w:rPr>
          <w:rFonts w:asciiTheme="majorHAnsi" w:hAnsiTheme="majorHAnsi" w:cstheme="majorHAnsi"/>
          <w:sz w:val="21"/>
          <w:szCs w:val="21"/>
        </w:rPr>
        <w:t xml:space="preserve">Immunisation Handbook </w:t>
      </w:r>
      <w:r>
        <w:rPr>
          <w:rFonts w:asciiTheme="majorHAnsi" w:hAnsiTheme="majorHAnsi" w:cstheme="majorHAnsi"/>
          <w:sz w:val="21"/>
          <w:szCs w:val="21"/>
        </w:rPr>
        <w:t xml:space="preserve">(published by the Ministry of Health) </w:t>
      </w:r>
      <w:r w:rsidRPr="00485D22">
        <w:rPr>
          <w:rFonts w:asciiTheme="majorHAnsi" w:hAnsiTheme="majorHAnsi" w:cstheme="majorHAnsi"/>
          <w:sz w:val="21"/>
          <w:szCs w:val="21"/>
        </w:rPr>
        <w:t>has just been updated with  </w:t>
      </w:r>
      <w:hyperlink r:id="rId7" w:anchor="23-6" w:history="1">
        <w:r w:rsidRPr="00485D22">
          <w:rPr>
            <w:rStyle w:val="Hyperlink"/>
            <w:rFonts w:asciiTheme="majorHAnsi" w:hAnsiTheme="majorHAnsi" w:cstheme="majorHAnsi"/>
            <w:sz w:val="21"/>
            <w:szCs w:val="21"/>
          </w:rPr>
          <w:t>information</w:t>
        </w:r>
      </w:hyperlink>
      <w:r w:rsidRPr="00485D22">
        <w:rPr>
          <w:rFonts w:asciiTheme="majorHAnsi" w:hAnsiTheme="majorHAnsi" w:cstheme="majorHAnsi"/>
          <w:sz w:val="21"/>
          <w:szCs w:val="21"/>
        </w:rPr>
        <w:t> on the first approved vaccine. It will be updated with the other vaccines if/when they are approved.</w:t>
      </w:r>
      <w:r w:rsidRPr="00485D22">
        <w:t xml:space="preserve"> </w:t>
      </w:r>
      <w:r w:rsidRPr="00485D22">
        <w:rPr>
          <w:rFonts w:asciiTheme="majorHAnsi" w:hAnsiTheme="majorHAnsi" w:cstheme="majorHAnsi"/>
          <w:sz w:val="21"/>
          <w:szCs w:val="21"/>
        </w:rPr>
        <w:t>Before vaccines are administered, general pre-vaccination screening guidelines</w:t>
      </w:r>
      <w:r>
        <w:rPr>
          <w:rFonts w:asciiTheme="majorHAnsi" w:hAnsiTheme="majorHAnsi" w:cstheme="majorHAnsi"/>
          <w:sz w:val="21"/>
          <w:szCs w:val="21"/>
        </w:rPr>
        <w:t xml:space="preserve"> and </w:t>
      </w:r>
      <w:r w:rsidRPr="00485D22">
        <w:rPr>
          <w:rFonts w:asciiTheme="majorHAnsi" w:hAnsiTheme="majorHAnsi" w:cstheme="majorHAnsi"/>
          <w:sz w:val="21"/>
          <w:szCs w:val="21"/>
        </w:rPr>
        <w:t xml:space="preserve">general contraindications for all vaccines </w:t>
      </w:r>
      <w:r>
        <w:rPr>
          <w:rFonts w:asciiTheme="majorHAnsi" w:hAnsiTheme="majorHAnsi" w:cstheme="majorHAnsi"/>
          <w:sz w:val="21"/>
          <w:szCs w:val="21"/>
        </w:rPr>
        <w:t>should be checked. Special consideration is given to patients on</w:t>
      </w:r>
      <w:r w:rsidRPr="00485D22">
        <w:rPr>
          <w:rFonts w:asciiTheme="majorHAnsi" w:hAnsiTheme="majorHAnsi" w:cstheme="majorHAnsi"/>
          <w:sz w:val="21"/>
          <w:szCs w:val="21"/>
        </w:rPr>
        <w:t xml:space="preserve"> immune checkpoint inhibitor (immunostimulant) therapy, particularly oncology patients.</w:t>
      </w:r>
    </w:p>
    <w:p w14:paraId="698285CE" w14:textId="77777777" w:rsidR="00485D22" w:rsidRDefault="00485D22" w:rsidP="005141A3">
      <w:pPr>
        <w:rPr>
          <w:rFonts w:asciiTheme="majorHAnsi" w:hAnsiTheme="majorHAnsi" w:cstheme="majorHAnsi"/>
          <w:sz w:val="21"/>
          <w:szCs w:val="21"/>
        </w:rPr>
      </w:pPr>
    </w:p>
    <w:p w14:paraId="0E3A115A" w14:textId="77777777" w:rsidR="00E03547" w:rsidRDefault="00E03547" w:rsidP="005141A3">
      <w:pPr>
        <w:rPr>
          <w:rFonts w:asciiTheme="majorHAnsi" w:hAnsiTheme="majorHAnsi" w:cstheme="majorHAnsi"/>
          <w:sz w:val="21"/>
          <w:szCs w:val="21"/>
        </w:rPr>
      </w:pPr>
    </w:p>
    <w:p w14:paraId="11C0FCCE" w14:textId="77777777" w:rsidR="00E03547" w:rsidRDefault="00E03547" w:rsidP="005141A3">
      <w:pPr>
        <w:rPr>
          <w:rFonts w:asciiTheme="majorHAnsi" w:hAnsiTheme="majorHAnsi" w:cstheme="majorHAnsi"/>
          <w:sz w:val="21"/>
          <w:szCs w:val="21"/>
        </w:rPr>
      </w:pPr>
    </w:p>
    <w:p w14:paraId="265FAEED" w14:textId="7FE05B69" w:rsidR="00E03547" w:rsidRDefault="00E03547" w:rsidP="005141A3">
      <w:pPr>
        <w:rPr>
          <w:rFonts w:asciiTheme="majorHAnsi" w:hAnsiTheme="majorHAnsi" w:cstheme="majorHAnsi"/>
          <w:sz w:val="21"/>
          <w:szCs w:val="21"/>
        </w:rPr>
      </w:pPr>
    </w:p>
    <w:p w14:paraId="5D1FD6F6" w14:textId="77777777" w:rsidR="000953C8" w:rsidRDefault="000953C8" w:rsidP="005141A3">
      <w:pPr>
        <w:rPr>
          <w:rFonts w:asciiTheme="majorHAnsi" w:hAnsiTheme="majorHAnsi" w:cstheme="majorHAnsi"/>
          <w:sz w:val="21"/>
          <w:szCs w:val="21"/>
        </w:rPr>
      </w:pPr>
    </w:p>
    <w:p w14:paraId="3FCE83CE" w14:textId="77777777" w:rsidR="00E03547" w:rsidRDefault="00E03547" w:rsidP="005141A3">
      <w:pPr>
        <w:rPr>
          <w:rFonts w:asciiTheme="majorHAnsi" w:hAnsiTheme="majorHAnsi" w:cstheme="majorHAnsi"/>
          <w:sz w:val="21"/>
          <w:szCs w:val="21"/>
        </w:rPr>
      </w:pPr>
    </w:p>
    <w:p w14:paraId="42D8A12B" w14:textId="77777777" w:rsidR="00E03547" w:rsidRDefault="00E03547" w:rsidP="005141A3">
      <w:pPr>
        <w:rPr>
          <w:rFonts w:asciiTheme="majorHAnsi" w:hAnsiTheme="majorHAnsi" w:cstheme="majorHAnsi"/>
          <w:sz w:val="21"/>
          <w:szCs w:val="21"/>
        </w:rPr>
      </w:pPr>
    </w:p>
    <w:p w14:paraId="5824E950" w14:textId="77777777" w:rsidR="00E03547" w:rsidRDefault="00E03547" w:rsidP="005141A3">
      <w:pPr>
        <w:rPr>
          <w:rFonts w:asciiTheme="majorHAnsi" w:hAnsiTheme="majorHAnsi" w:cstheme="majorHAnsi"/>
          <w:sz w:val="21"/>
          <w:szCs w:val="21"/>
        </w:rPr>
      </w:pPr>
    </w:p>
    <w:p w14:paraId="729C74AF" w14:textId="77777777" w:rsidR="00E03547" w:rsidRDefault="00E03547" w:rsidP="005141A3">
      <w:pPr>
        <w:rPr>
          <w:rFonts w:asciiTheme="majorHAnsi" w:hAnsiTheme="majorHAnsi" w:cstheme="majorHAnsi"/>
          <w:sz w:val="21"/>
          <w:szCs w:val="21"/>
        </w:rPr>
      </w:pPr>
    </w:p>
    <w:p w14:paraId="5669A0E2" w14:textId="77777777" w:rsidR="00E03547" w:rsidRDefault="00E03547" w:rsidP="005141A3">
      <w:pPr>
        <w:rPr>
          <w:rFonts w:asciiTheme="majorHAnsi" w:hAnsiTheme="majorHAnsi" w:cstheme="majorHAnsi"/>
          <w:sz w:val="21"/>
          <w:szCs w:val="21"/>
        </w:rPr>
      </w:pPr>
    </w:p>
    <w:p w14:paraId="4DB6AD00" w14:textId="773564D1" w:rsidR="001032AB" w:rsidRPr="000953C8" w:rsidRDefault="001D15E3" w:rsidP="005141A3">
      <w:pPr>
        <w:rPr>
          <w:rFonts w:asciiTheme="majorHAnsi" w:hAnsiTheme="majorHAnsi" w:cstheme="majorHAnsi"/>
          <w:b/>
          <w:bCs/>
          <w:sz w:val="21"/>
          <w:szCs w:val="21"/>
        </w:rPr>
      </w:pPr>
      <w:r w:rsidRPr="000953C8">
        <w:rPr>
          <w:rFonts w:asciiTheme="majorHAnsi" w:hAnsiTheme="majorHAnsi" w:cstheme="majorHAnsi"/>
          <w:b/>
          <w:bCs/>
          <w:sz w:val="21"/>
          <w:szCs w:val="21"/>
        </w:rPr>
        <w:t>References</w:t>
      </w:r>
    </w:p>
    <w:p w14:paraId="4AED0285" w14:textId="77777777" w:rsidR="001032AB" w:rsidRPr="00CC3C37" w:rsidRDefault="001032AB" w:rsidP="005141A3">
      <w:pPr>
        <w:rPr>
          <w:rFonts w:asciiTheme="majorHAnsi" w:hAnsiTheme="majorHAnsi" w:cstheme="majorHAnsi"/>
          <w:sz w:val="21"/>
          <w:szCs w:val="21"/>
        </w:rPr>
      </w:pPr>
    </w:p>
    <w:p w14:paraId="656A1A28" w14:textId="77777777" w:rsidR="00640066" w:rsidRPr="00640066" w:rsidRDefault="001032AB" w:rsidP="00640066">
      <w:pPr>
        <w:pStyle w:val="Bibliography"/>
        <w:rPr>
          <w:rFonts w:ascii="Calibri Light" w:hAnsiTheme="majorHAnsi" w:cs="Calibri Light"/>
          <w:sz w:val="21"/>
          <w:lang w:val="en-GB"/>
        </w:rPr>
      </w:pPr>
      <w:r w:rsidRPr="00CC3C37">
        <w:rPr>
          <w:rFonts w:asciiTheme="majorHAnsi" w:hAnsiTheme="majorHAnsi" w:cstheme="majorHAnsi"/>
          <w:sz w:val="21"/>
          <w:szCs w:val="21"/>
        </w:rPr>
        <w:fldChar w:fldCharType="begin"/>
      </w:r>
      <w:r w:rsidRPr="00CC3C37">
        <w:rPr>
          <w:rFonts w:asciiTheme="majorHAnsi" w:hAnsiTheme="majorHAnsi" w:cstheme="majorHAnsi"/>
          <w:sz w:val="21"/>
          <w:szCs w:val="21"/>
        </w:rPr>
        <w:instrText xml:space="preserve"> ADDIN ZOTERO_BIBL {"uncited":[],"omitted":[],"custom":[]} CSL_BIBLIOGRAPHY </w:instrText>
      </w:r>
      <w:r w:rsidRPr="00CC3C37">
        <w:rPr>
          <w:rFonts w:asciiTheme="majorHAnsi" w:hAnsiTheme="majorHAnsi" w:cstheme="majorHAnsi"/>
          <w:sz w:val="21"/>
          <w:szCs w:val="21"/>
        </w:rPr>
        <w:fldChar w:fldCharType="separate"/>
      </w:r>
      <w:r w:rsidR="00640066" w:rsidRPr="00640066">
        <w:rPr>
          <w:rFonts w:ascii="Calibri Light" w:hAnsiTheme="majorHAnsi" w:cs="Calibri Light"/>
          <w:sz w:val="21"/>
          <w:lang w:val="en-GB"/>
        </w:rPr>
        <w:t xml:space="preserve">1. </w:t>
      </w:r>
      <w:r w:rsidR="00640066" w:rsidRPr="00640066">
        <w:rPr>
          <w:rFonts w:ascii="Calibri Light" w:hAnsiTheme="majorHAnsi" w:cs="Calibri Light"/>
          <w:sz w:val="21"/>
          <w:lang w:val="en-GB"/>
        </w:rPr>
        <w:tab/>
        <w:t>Current Summary Data [Internet]. SECURE-IBD Database. [cited 2021 Feb 20]. Available from: https://covidibd.org/current-data/</w:t>
      </w:r>
    </w:p>
    <w:p w14:paraId="327A67AB" w14:textId="77777777" w:rsidR="00640066" w:rsidRPr="00640066" w:rsidRDefault="00640066" w:rsidP="00640066">
      <w:pPr>
        <w:pStyle w:val="Bibliography"/>
        <w:rPr>
          <w:rFonts w:ascii="Calibri Light" w:hAnsiTheme="majorHAnsi" w:cs="Calibri Light"/>
          <w:sz w:val="21"/>
          <w:lang w:val="en-GB"/>
        </w:rPr>
      </w:pPr>
      <w:r w:rsidRPr="00640066">
        <w:rPr>
          <w:rFonts w:ascii="Calibri Light" w:hAnsiTheme="majorHAnsi" w:cs="Calibri Light"/>
          <w:sz w:val="21"/>
          <w:lang w:val="en-GB"/>
        </w:rPr>
        <w:t xml:space="preserve">2. </w:t>
      </w:r>
      <w:r w:rsidRPr="00640066">
        <w:rPr>
          <w:rFonts w:ascii="Calibri Light" w:hAnsiTheme="majorHAnsi" w:cs="Calibri Light"/>
          <w:sz w:val="21"/>
          <w:lang w:val="en-GB"/>
        </w:rPr>
        <w:tab/>
        <w:t xml:space="preserve">Jefferies S, French N, Gilkison C, Graham G, Hope V, Marshall J, et al. COVID-19 in New Zealand and the impact of the national response: a descriptive epidemiological study. Lancet Public Health. 2020 Nov;5(11):e612–23. </w:t>
      </w:r>
    </w:p>
    <w:p w14:paraId="1CE7DD9F" w14:textId="77777777" w:rsidR="00640066" w:rsidRPr="00640066" w:rsidRDefault="00640066" w:rsidP="00640066">
      <w:pPr>
        <w:pStyle w:val="Bibliography"/>
        <w:rPr>
          <w:rFonts w:ascii="Calibri Light" w:hAnsiTheme="majorHAnsi" w:cs="Calibri Light"/>
          <w:sz w:val="21"/>
          <w:lang w:val="en-GB"/>
        </w:rPr>
      </w:pPr>
      <w:r w:rsidRPr="00640066">
        <w:rPr>
          <w:rFonts w:ascii="Calibri Light" w:hAnsiTheme="majorHAnsi" w:cs="Calibri Light"/>
          <w:sz w:val="21"/>
          <w:lang w:val="en-GB"/>
        </w:rPr>
        <w:t xml:space="preserve">3. </w:t>
      </w:r>
      <w:r w:rsidRPr="00640066">
        <w:rPr>
          <w:rFonts w:ascii="Calibri Light" w:hAnsiTheme="majorHAnsi" w:cs="Calibri Light"/>
          <w:sz w:val="21"/>
          <w:lang w:val="en-GB"/>
        </w:rPr>
        <w:tab/>
        <w:t>Our COVID-19 vaccine agreements [Internet]. Unite against COVID-19. [cited 2021 Feb 20]. Available from: https://covid19.govt.nz/health-and-wellbeing/covid-19-vaccines/our-covid-19-vaccine-strategy/our-covid-19-vaccine-agreements/</w:t>
      </w:r>
    </w:p>
    <w:p w14:paraId="062DCFB8" w14:textId="77777777" w:rsidR="00640066" w:rsidRPr="00640066" w:rsidRDefault="00640066" w:rsidP="00640066">
      <w:pPr>
        <w:pStyle w:val="Bibliography"/>
        <w:rPr>
          <w:rFonts w:ascii="Calibri Light" w:hAnsiTheme="majorHAnsi" w:cs="Calibri Light"/>
          <w:sz w:val="21"/>
          <w:lang w:val="en-GB"/>
        </w:rPr>
      </w:pPr>
      <w:r w:rsidRPr="00640066">
        <w:rPr>
          <w:rFonts w:ascii="Calibri Light" w:hAnsiTheme="majorHAnsi" w:cs="Calibri Light"/>
          <w:sz w:val="21"/>
          <w:lang w:val="en-GB"/>
        </w:rPr>
        <w:t xml:space="preserve">4. </w:t>
      </w:r>
      <w:r w:rsidRPr="00640066">
        <w:rPr>
          <w:rFonts w:ascii="Calibri Light" w:hAnsiTheme="majorHAnsi" w:cs="Calibri Light"/>
          <w:sz w:val="21"/>
          <w:lang w:val="en-GB"/>
        </w:rPr>
        <w:tab/>
        <w:t>COVID-19 Vaccine Status of Applications [Internet]. [cited 2021 Feb 20]. Available from: https://www.medsafe.govt.nz/COVID-19/status-of-applications.asp</w:t>
      </w:r>
    </w:p>
    <w:p w14:paraId="268666BD" w14:textId="77777777" w:rsidR="00640066" w:rsidRPr="00640066" w:rsidRDefault="00640066" w:rsidP="00640066">
      <w:pPr>
        <w:pStyle w:val="Bibliography"/>
        <w:rPr>
          <w:rFonts w:ascii="Calibri Light" w:hAnsiTheme="majorHAnsi" w:cs="Calibri Light"/>
          <w:sz w:val="21"/>
          <w:lang w:val="en-GB"/>
        </w:rPr>
      </w:pPr>
      <w:r w:rsidRPr="00640066">
        <w:rPr>
          <w:rFonts w:ascii="Calibri Light" w:hAnsiTheme="majorHAnsi" w:cs="Calibri Light"/>
          <w:sz w:val="21"/>
          <w:lang w:val="en-GB"/>
        </w:rPr>
        <w:t xml:space="preserve">5. </w:t>
      </w:r>
      <w:r w:rsidRPr="00640066">
        <w:rPr>
          <w:rFonts w:ascii="Calibri Light" w:hAnsiTheme="majorHAnsi" w:cs="Calibri Light"/>
          <w:sz w:val="21"/>
          <w:lang w:val="en-GB"/>
        </w:rPr>
        <w:tab/>
        <w:t>COVID-19 Vaccine Strategy | Ministry of Business, Innovation &amp; Employment [Internet]. [cited 2021 Feb 20]. Available from: https://www.mbie.govt.nz/science-and-technology/science-and-innovation/international-opportunities/covid-19-vaccine-strategy</w:t>
      </w:r>
    </w:p>
    <w:p w14:paraId="0D20308A" w14:textId="77777777" w:rsidR="00640066" w:rsidRPr="00640066" w:rsidRDefault="00640066" w:rsidP="00640066">
      <w:pPr>
        <w:pStyle w:val="Bibliography"/>
        <w:rPr>
          <w:rFonts w:ascii="Calibri Light" w:hAnsiTheme="majorHAnsi" w:cs="Calibri Light"/>
          <w:sz w:val="21"/>
          <w:lang w:val="en-GB"/>
        </w:rPr>
      </w:pPr>
      <w:r w:rsidRPr="00640066">
        <w:rPr>
          <w:rFonts w:ascii="Calibri Light" w:hAnsiTheme="majorHAnsi" w:cs="Calibri Light"/>
          <w:sz w:val="21"/>
          <w:lang w:val="en-GB"/>
        </w:rPr>
        <w:t xml:space="preserve">6. </w:t>
      </w:r>
      <w:r w:rsidRPr="00640066">
        <w:rPr>
          <w:rFonts w:ascii="Calibri Light" w:hAnsiTheme="majorHAnsi" w:cs="Calibri Light"/>
          <w:sz w:val="21"/>
          <w:lang w:val="en-GB"/>
        </w:rPr>
        <w:tab/>
        <w:t>COVID-19 vaccines [Internet]. Immunisation Advisory Centre. 2020 [cited 2021 Feb 20]. Available from: https://www.immune.org.nz/covid-19-vaccines</w:t>
      </w:r>
    </w:p>
    <w:p w14:paraId="26F2C360" w14:textId="77777777" w:rsidR="00640066" w:rsidRPr="00640066" w:rsidRDefault="00640066" w:rsidP="00640066">
      <w:pPr>
        <w:pStyle w:val="Bibliography"/>
        <w:rPr>
          <w:rFonts w:ascii="Calibri Light" w:hAnsiTheme="majorHAnsi" w:cs="Calibri Light"/>
          <w:sz w:val="21"/>
          <w:lang w:val="en-GB"/>
        </w:rPr>
      </w:pPr>
      <w:r w:rsidRPr="00640066">
        <w:rPr>
          <w:rFonts w:ascii="Calibri Light" w:hAnsiTheme="majorHAnsi" w:cs="Calibri Light"/>
          <w:sz w:val="21"/>
          <w:lang w:val="en-GB"/>
        </w:rPr>
        <w:t xml:space="preserve">7. </w:t>
      </w:r>
      <w:r w:rsidRPr="00640066">
        <w:rPr>
          <w:rFonts w:ascii="Calibri Light" w:hAnsiTheme="majorHAnsi" w:cs="Calibri Light"/>
          <w:sz w:val="21"/>
          <w:lang w:val="en-GB"/>
        </w:rPr>
        <w:tab/>
        <w:t xml:space="preserve">Pratt PK Jr, David N, Weber HC, Little FF, Kourkoumpetis T, Patts GJ, et al. Antibody Response to Hepatitis B Virus Vaccine is Impaired in Patients With Inflammatory Bowel Disease on Infliximab Therapy. Inflamm Bowel Dis. 2018 Jan 18;24(2):380–6. </w:t>
      </w:r>
    </w:p>
    <w:p w14:paraId="4A3DF7EA" w14:textId="77777777" w:rsidR="00640066" w:rsidRPr="00640066" w:rsidRDefault="00640066" w:rsidP="00640066">
      <w:pPr>
        <w:pStyle w:val="Bibliography"/>
        <w:rPr>
          <w:rFonts w:ascii="Calibri Light" w:hAnsiTheme="majorHAnsi" w:cs="Calibri Light"/>
          <w:sz w:val="21"/>
          <w:lang w:val="en-GB"/>
        </w:rPr>
      </w:pPr>
      <w:r w:rsidRPr="00640066">
        <w:rPr>
          <w:rFonts w:ascii="Calibri Light" w:hAnsiTheme="majorHAnsi" w:cs="Calibri Light"/>
          <w:sz w:val="21"/>
          <w:lang w:val="en-GB"/>
        </w:rPr>
        <w:lastRenderedPageBreak/>
        <w:t xml:space="preserve">8. </w:t>
      </w:r>
      <w:r w:rsidRPr="00640066">
        <w:rPr>
          <w:rFonts w:ascii="Calibri Light" w:hAnsiTheme="majorHAnsi" w:cs="Calibri Light"/>
          <w:sz w:val="21"/>
          <w:lang w:val="en-GB"/>
        </w:rPr>
        <w:tab/>
        <w:t xml:space="preserve">Park SH, Yang S-K, Park S-K, Kim JW, Yang D-H, Jung KW, et al. Efficacy of Hepatitis A Vaccination and Factors Impacting on Seroconversion in Patients with Inflammatory Bowel Disease. Inflamm Bowel Dis. 2014 Jan 1;20(1):69–74. </w:t>
      </w:r>
    </w:p>
    <w:p w14:paraId="45A343E4" w14:textId="77777777" w:rsidR="00FF6544" w:rsidRDefault="00640066" w:rsidP="00FF6544">
      <w:pPr>
        <w:pStyle w:val="Bibliography"/>
        <w:rPr>
          <w:rFonts w:ascii="Calibri Light" w:hAnsiTheme="majorHAnsi" w:cs="Calibri Light"/>
          <w:sz w:val="21"/>
          <w:lang w:val="en-GB"/>
        </w:rPr>
      </w:pPr>
      <w:r w:rsidRPr="00640066">
        <w:rPr>
          <w:rFonts w:ascii="Calibri Light" w:hAnsiTheme="majorHAnsi" w:cs="Calibri Light"/>
          <w:sz w:val="21"/>
          <w:lang w:val="en-GB"/>
        </w:rPr>
        <w:t xml:space="preserve"> </w:t>
      </w:r>
      <w:r w:rsidR="00FF6544">
        <w:rPr>
          <w:rFonts w:ascii="Calibri Light" w:hAnsiTheme="majorHAnsi" w:cs="Calibri Light"/>
          <w:sz w:val="21"/>
          <w:lang w:val="en-GB"/>
        </w:rPr>
        <w:t xml:space="preserve">9. </w:t>
      </w:r>
      <w:r w:rsidR="00FF6544">
        <w:rPr>
          <w:rFonts w:ascii="Calibri Light" w:hAnsiTheme="majorHAnsi" w:cs="Calibri Light"/>
          <w:sz w:val="21"/>
          <w:lang w:val="en-GB"/>
        </w:rPr>
        <w:tab/>
      </w:r>
      <w:r w:rsidR="00FF6544" w:rsidRPr="00FF6544">
        <w:rPr>
          <w:rFonts w:ascii="Calibri Light" w:hAnsiTheme="majorHAnsi" w:cs="Calibri Light"/>
          <w:sz w:val="21"/>
          <w:lang w:val="en-GB"/>
        </w:rPr>
        <w:t xml:space="preserve">Ungaro </w:t>
      </w:r>
      <w:r w:rsidR="00FF6544">
        <w:rPr>
          <w:rFonts w:ascii="Calibri Light" w:hAnsiTheme="majorHAnsi" w:cs="Calibri Light"/>
          <w:sz w:val="21"/>
          <w:lang w:val="en-GB"/>
        </w:rPr>
        <w:t>RC</w:t>
      </w:r>
      <w:r w:rsidR="00FF6544" w:rsidRPr="00FF6544">
        <w:rPr>
          <w:rFonts w:ascii="Calibri Light" w:hAnsiTheme="majorHAnsi" w:cs="Calibri Light"/>
          <w:sz w:val="21"/>
          <w:lang w:val="en-GB"/>
        </w:rPr>
        <w:t xml:space="preserve">, Brenner </w:t>
      </w:r>
      <w:r w:rsidR="00FF6544">
        <w:rPr>
          <w:rFonts w:ascii="Calibri Light" w:hAnsiTheme="majorHAnsi" w:cs="Calibri Light"/>
          <w:sz w:val="21"/>
          <w:lang w:val="en-GB"/>
        </w:rPr>
        <w:t>EJ</w:t>
      </w:r>
      <w:r w:rsidR="00FF6544" w:rsidRPr="00FF6544">
        <w:rPr>
          <w:rFonts w:ascii="Calibri Light" w:hAnsiTheme="majorHAnsi" w:cs="Calibri Light"/>
          <w:sz w:val="21"/>
          <w:lang w:val="en-GB"/>
        </w:rPr>
        <w:t xml:space="preserve">, Gearry </w:t>
      </w:r>
      <w:r w:rsidR="00FF6544">
        <w:rPr>
          <w:rFonts w:ascii="Calibri Light" w:hAnsiTheme="majorHAnsi" w:cs="Calibri Light"/>
          <w:sz w:val="21"/>
          <w:lang w:val="en-GB"/>
        </w:rPr>
        <w:t>RB</w:t>
      </w:r>
      <w:r w:rsidR="00FF6544" w:rsidRPr="00FF6544">
        <w:rPr>
          <w:rFonts w:ascii="Calibri Light" w:hAnsiTheme="majorHAnsi" w:cs="Calibri Light"/>
          <w:sz w:val="21"/>
          <w:lang w:val="en-GB"/>
        </w:rPr>
        <w:t xml:space="preserve">, Kaplan </w:t>
      </w:r>
      <w:r w:rsidR="00FF6544">
        <w:rPr>
          <w:rFonts w:ascii="Calibri Light" w:hAnsiTheme="majorHAnsi" w:cs="Calibri Light"/>
          <w:sz w:val="21"/>
          <w:lang w:val="en-GB"/>
        </w:rPr>
        <w:t>GG</w:t>
      </w:r>
      <w:r w:rsidR="00FF6544" w:rsidRPr="00FF6544">
        <w:rPr>
          <w:rFonts w:ascii="Calibri Light" w:hAnsiTheme="majorHAnsi" w:cs="Calibri Light"/>
          <w:sz w:val="21"/>
          <w:lang w:val="en-GB"/>
        </w:rPr>
        <w:t xml:space="preserve">, Kissous-Hunt </w:t>
      </w:r>
      <w:r w:rsidR="00FF6544">
        <w:rPr>
          <w:rFonts w:ascii="Calibri Light" w:hAnsiTheme="majorHAnsi" w:cs="Calibri Light"/>
          <w:sz w:val="21"/>
          <w:lang w:val="en-GB"/>
        </w:rPr>
        <w:t>M</w:t>
      </w:r>
      <w:r w:rsidR="00FF6544" w:rsidRPr="00FF6544">
        <w:rPr>
          <w:rFonts w:ascii="Calibri Light" w:hAnsiTheme="majorHAnsi" w:cs="Calibri Light"/>
          <w:sz w:val="21"/>
          <w:lang w:val="en-GB"/>
        </w:rPr>
        <w:t xml:space="preserve">, Lewis </w:t>
      </w:r>
      <w:r w:rsidR="00FF6544">
        <w:rPr>
          <w:rFonts w:ascii="Calibri Light" w:hAnsiTheme="majorHAnsi" w:cs="Calibri Light"/>
          <w:sz w:val="21"/>
          <w:lang w:val="en-GB"/>
        </w:rPr>
        <w:t>JD</w:t>
      </w:r>
      <w:r w:rsidR="00FF6544" w:rsidRPr="00FF6544">
        <w:rPr>
          <w:rFonts w:ascii="Calibri Light" w:hAnsiTheme="majorHAnsi" w:cs="Calibri Light"/>
          <w:sz w:val="21"/>
          <w:lang w:val="en-GB"/>
        </w:rPr>
        <w:t xml:space="preserve">, Ng </w:t>
      </w:r>
      <w:r w:rsidR="00FF6544">
        <w:rPr>
          <w:rFonts w:ascii="Calibri Light" w:hAnsiTheme="majorHAnsi" w:cs="Calibri Light"/>
          <w:sz w:val="21"/>
          <w:lang w:val="en-GB"/>
        </w:rPr>
        <w:t>SJ</w:t>
      </w:r>
      <w:r w:rsidR="00FF6544" w:rsidRPr="00FF6544">
        <w:rPr>
          <w:rFonts w:ascii="Calibri Light" w:hAnsiTheme="majorHAnsi" w:cs="Calibri Light"/>
          <w:sz w:val="21"/>
          <w:lang w:val="en-GB"/>
        </w:rPr>
        <w:t xml:space="preserve">, Rahier </w:t>
      </w:r>
      <w:r w:rsidR="00FF6544">
        <w:rPr>
          <w:rFonts w:ascii="Calibri Light" w:hAnsiTheme="majorHAnsi" w:cs="Calibri Light"/>
          <w:sz w:val="21"/>
          <w:lang w:val="en-GB"/>
        </w:rPr>
        <w:t>J-F</w:t>
      </w:r>
      <w:r w:rsidR="00FF6544" w:rsidRPr="00FF6544">
        <w:rPr>
          <w:rFonts w:ascii="Calibri Light" w:hAnsiTheme="majorHAnsi" w:cs="Calibri Light"/>
          <w:sz w:val="21"/>
          <w:lang w:val="en-GB"/>
        </w:rPr>
        <w:t xml:space="preserve">, Reinisch </w:t>
      </w:r>
      <w:r w:rsidR="00FF6544">
        <w:rPr>
          <w:rFonts w:ascii="Calibri Light" w:hAnsiTheme="majorHAnsi" w:cs="Calibri Light"/>
          <w:sz w:val="21"/>
          <w:lang w:val="en-GB"/>
        </w:rPr>
        <w:t>W,</w:t>
      </w:r>
      <w:r w:rsidR="00FF6544" w:rsidRPr="00FF6544">
        <w:rPr>
          <w:rFonts w:ascii="Calibri Light" w:hAnsiTheme="majorHAnsi" w:cs="Calibri Light"/>
          <w:sz w:val="21"/>
          <w:lang w:val="en-GB"/>
        </w:rPr>
        <w:t xml:space="preserve"> Steinwurz </w:t>
      </w:r>
      <w:r w:rsidR="00FF6544">
        <w:rPr>
          <w:rFonts w:ascii="Calibri Light" w:hAnsiTheme="majorHAnsi" w:cs="Calibri Light"/>
          <w:sz w:val="21"/>
          <w:lang w:val="en-GB"/>
        </w:rPr>
        <w:t>F</w:t>
      </w:r>
      <w:r w:rsidR="00FF6544" w:rsidRPr="00FF6544">
        <w:rPr>
          <w:rFonts w:ascii="Calibri Light" w:hAnsiTheme="majorHAnsi" w:cs="Calibri Light"/>
          <w:sz w:val="21"/>
          <w:lang w:val="en-GB"/>
        </w:rPr>
        <w:t xml:space="preserve">, Underwood </w:t>
      </w:r>
      <w:r w:rsidR="00FF6544">
        <w:rPr>
          <w:rFonts w:ascii="Calibri Light" w:hAnsiTheme="majorHAnsi" w:cs="Calibri Light"/>
          <w:sz w:val="21"/>
          <w:lang w:val="en-GB"/>
        </w:rPr>
        <w:t>FE</w:t>
      </w:r>
      <w:r w:rsidR="00FF6544" w:rsidRPr="00FF6544">
        <w:rPr>
          <w:rFonts w:ascii="Calibri Light" w:hAnsiTheme="majorHAnsi" w:cs="Calibri Light"/>
          <w:sz w:val="21"/>
          <w:lang w:val="en-GB"/>
        </w:rPr>
        <w:t xml:space="preserve">, Zhang </w:t>
      </w:r>
      <w:r w:rsidR="00FF6544">
        <w:rPr>
          <w:rFonts w:ascii="Calibri Light" w:hAnsiTheme="majorHAnsi" w:cs="Calibri Light"/>
          <w:sz w:val="21"/>
          <w:lang w:val="en-GB"/>
        </w:rPr>
        <w:t>X</w:t>
      </w:r>
      <w:r w:rsidR="00FF6544" w:rsidRPr="00FF6544">
        <w:rPr>
          <w:rFonts w:ascii="Calibri Light" w:hAnsiTheme="majorHAnsi" w:cs="Calibri Light"/>
          <w:sz w:val="21"/>
          <w:lang w:val="en-GB"/>
        </w:rPr>
        <w:t xml:space="preserve">, Colombel </w:t>
      </w:r>
      <w:r w:rsidR="00FF6544">
        <w:rPr>
          <w:rFonts w:ascii="Calibri Light" w:hAnsiTheme="majorHAnsi" w:cs="Calibri Light"/>
          <w:sz w:val="21"/>
          <w:lang w:val="en-GB"/>
        </w:rPr>
        <w:t>J-F</w:t>
      </w:r>
      <w:r w:rsidR="00FF6544" w:rsidRPr="00FF6544">
        <w:rPr>
          <w:rFonts w:ascii="Calibri Light" w:hAnsiTheme="majorHAnsi" w:cs="Calibri Light"/>
          <w:sz w:val="21"/>
          <w:lang w:val="en-GB"/>
        </w:rPr>
        <w:t xml:space="preserve">, Kappelman </w:t>
      </w:r>
      <w:r w:rsidR="00FF6544">
        <w:rPr>
          <w:rFonts w:ascii="Calibri Light" w:hAnsiTheme="majorHAnsi" w:cs="Calibri Light"/>
          <w:sz w:val="21"/>
          <w:lang w:val="en-GB"/>
        </w:rPr>
        <w:t xml:space="preserve">MD. </w:t>
      </w:r>
      <w:r w:rsidR="00FF6544" w:rsidRPr="00FF6544">
        <w:rPr>
          <w:rFonts w:ascii="Calibri Light" w:hAnsiTheme="majorHAnsi" w:cs="Calibri Light"/>
          <w:sz w:val="21"/>
          <w:lang w:val="en-GB"/>
        </w:rPr>
        <w:t>Effect of IBD medications on COVID-19 outcomes: results from an international registry</w:t>
      </w:r>
      <w:r w:rsidR="00FF6544">
        <w:rPr>
          <w:rFonts w:ascii="Calibri Light" w:hAnsiTheme="majorHAnsi" w:cs="Calibri Light"/>
          <w:sz w:val="21"/>
          <w:lang w:val="en-GB"/>
        </w:rPr>
        <w:t xml:space="preserve">. Gut 2020 Oct 20; epub ahead of print. </w:t>
      </w:r>
    </w:p>
    <w:p w14:paraId="5A81A4DC" w14:textId="48601139" w:rsidR="00FF6544" w:rsidRPr="00FF6544" w:rsidRDefault="00FF6544" w:rsidP="00FF6544">
      <w:pPr>
        <w:pStyle w:val="Bibliography"/>
        <w:rPr>
          <w:rFonts w:ascii="Calibri Light" w:hAnsiTheme="majorHAnsi" w:cs="Calibri Light"/>
          <w:sz w:val="21"/>
          <w:lang w:val="en-GB"/>
        </w:rPr>
      </w:pPr>
      <w:r>
        <w:rPr>
          <w:rFonts w:ascii="Calibri Light" w:hAnsiTheme="majorHAnsi" w:cs="Calibri Light"/>
          <w:sz w:val="21"/>
          <w:lang w:val="en-GB"/>
        </w:rPr>
        <w:t xml:space="preserve">10.  </w:t>
      </w:r>
      <w:r w:rsidRPr="00FF6544">
        <w:rPr>
          <w:rFonts w:ascii="Calibri Light" w:hAnsiTheme="majorHAnsi" w:cs="Calibri Light"/>
          <w:sz w:val="21"/>
          <w:lang w:val="en-GB"/>
        </w:rPr>
        <w:t>Brenner EJ</w:t>
      </w:r>
      <w:r>
        <w:rPr>
          <w:rFonts w:ascii="Calibri Light" w:hAnsiTheme="majorHAnsi" w:cs="Calibri Light"/>
          <w:sz w:val="21"/>
          <w:lang w:val="en-GB"/>
        </w:rPr>
        <w:t xml:space="preserve">, </w:t>
      </w:r>
      <w:r w:rsidRPr="00FF6544">
        <w:rPr>
          <w:rFonts w:ascii="Calibri Light" w:hAnsiTheme="majorHAnsi" w:cs="Calibri Light"/>
          <w:sz w:val="21"/>
          <w:lang w:val="en-GB"/>
        </w:rPr>
        <w:t xml:space="preserve">Ungaro RC, Gearry RB, Kaplan GG, Kissous-Hunt M, Lewis JD, Ng SJ, Rahier J-F, Reinisch W, </w:t>
      </w:r>
      <w:r>
        <w:rPr>
          <w:rFonts w:ascii="Calibri Light" w:hAnsiTheme="majorHAnsi" w:cs="Calibri Light"/>
          <w:sz w:val="21"/>
          <w:lang w:val="en-GB"/>
        </w:rPr>
        <w:t xml:space="preserve">Ruemmele FM, </w:t>
      </w:r>
      <w:r w:rsidRPr="00FF6544">
        <w:rPr>
          <w:rFonts w:ascii="Calibri Light" w:hAnsiTheme="majorHAnsi" w:cs="Calibri Light"/>
          <w:sz w:val="21"/>
          <w:lang w:val="en-GB"/>
        </w:rPr>
        <w:t>Steinwurz F, Underwood FE, Zhang X, Colombel J-F, Kappelman MD</w:t>
      </w:r>
      <w:r>
        <w:rPr>
          <w:rFonts w:ascii="Calibri Light" w:hAnsiTheme="majorHAnsi" w:cs="Calibri Light"/>
          <w:sz w:val="21"/>
          <w:lang w:val="en-GB"/>
        </w:rPr>
        <w:t xml:space="preserve">. </w:t>
      </w:r>
      <w:r w:rsidRPr="00FF6544">
        <w:rPr>
          <w:rFonts w:ascii="Calibri Light" w:hAnsiTheme="majorHAnsi" w:cs="Calibri Light"/>
          <w:sz w:val="21"/>
          <w:lang w:val="en-GB"/>
        </w:rPr>
        <w:t>Corticosteroids, But Not TNF Antagonists, Are Associated With Adverse COVID-19 Outcomes in Patients With Inflammatory Bowel Diseases: Results From an International Registry</w:t>
      </w:r>
      <w:r>
        <w:rPr>
          <w:rFonts w:ascii="Calibri Light" w:hAnsiTheme="majorHAnsi" w:cs="Calibri Light"/>
          <w:sz w:val="21"/>
          <w:lang w:val="en-GB"/>
        </w:rPr>
        <w:t xml:space="preserve">. </w:t>
      </w:r>
      <w:r w:rsidRPr="00FF6544">
        <w:rPr>
          <w:rFonts w:ascii="Calibri Light" w:hAnsiTheme="majorHAnsi" w:cs="Calibri Light"/>
          <w:sz w:val="21"/>
          <w:lang w:val="en-GB"/>
        </w:rPr>
        <w:t>Gastroenterology</w:t>
      </w:r>
      <w:r>
        <w:rPr>
          <w:rFonts w:ascii="Calibri Light" w:hAnsiTheme="majorHAnsi" w:cs="Calibri Light"/>
          <w:sz w:val="21"/>
          <w:lang w:val="en-GB"/>
        </w:rPr>
        <w:t>.</w:t>
      </w:r>
      <w:r w:rsidRPr="00FF6544">
        <w:rPr>
          <w:rFonts w:ascii="Calibri Light" w:hAnsiTheme="majorHAnsi" w:cs="Calibri Light"/>
          <w:sz w:val="21"/>
          <w:lang w:val="en-GB"/>
        </w:rPr>
        <w:t xml:space="preserve"> 2020 Aug;159(2):481-491</w:t>
      </w:r>
    </w:p>
    <w:p w14:paraId="7A87E0F2" w14:textId="7F31FA25" w:rsidR="0025774A" w:rsidRDefault="001032AB" w:rsidP="001D15E3">
      <w:pPr>
        <w:rPr>
          <w:rFonts w:asciiTheme="majorHAnsi" w:hAnsiTheme="majorHAnsi" w:cstheme="majorHAnsi"/>
          <w:sz w:val="21"/>
          <w:szCs w:val="21"/>
        </w:rPr>
      </w:pPr>
      <w:r w:rsidRPr="00CC3C37">
        <w:rPr>
          <w:rFonts w:asciiTheme="majorHAnsi" w:hAnsiTheme="majorHAnsi" w:cstheme="majorHAnsi"/>
          <w:sz w:val="21"/>
          <w:szCs w:val="21"/>
        </w:rPr>
        <w:fldChar w:fldCharType="end"/>
      </w:r>
    </w:p>
    <w:p w14:paraId="4749FB32" w14:textId="77777777" w:rsidR="006146F3" w:rsidRDefault="006146F3" w:rsidP="001D15E3">
      <w:pPr>
        <w:rPr>
          <w:rFonts w:asciiTheme="majorHAnsi" w:hAnsiTheme="majorHAnsi" w:cstheme="majorHAnsi"/>
          <w:sz w:val="21"/>
          <w:szCs w:val="21"/>
          <w:u w:val="single"/>
        </w:rPr>
      </w:pPr>
    </w:p>
    <w:p w14:paraId="209E8027" w14:textId="549A876B" w:rsidR="001D15E3" w:rsidRPr="0025774A" w:rsidRDefault="001D15E3" w:rsidP="001D15E3">
      <w:pPr>
        <w:rPr>
          <w:rFonts w:asciiTheme="majorHAnsi" w:hAnsiTheme="majorHAnsi" w:cstheme="majorHAnsi"/>
          <w:sz w:val="21"/>
          <w:szCs w:val="21"/>
        </w:rPr>
      </w:pPr>
      <w:r w:rsidRPr="002100C6">
        <w:rPr>
          <w:rFonts w:asciiTheme="majorHAnsi" w:hAnsiTheme="majorHAnsi" w:cstheme="majorHAnsi"/>
          <w:sz w:val="21"/>
          <w:szCs w:val="21"/>
          <w:u w:val="single"/>
        </w:rPr>
        <w:t xml:space="preserve">Other </w:t>
      </w:r>
      <w:r w:rsidR="006146F3">
        <w:rPr>
          <w:rFonts w:asciiTheme="majorHAnsi" w:hAnsiTheme="majorHAnsi" w:cstheme="majorHAnsi"/>
          <w:sz w:val="21"/>
          <w:szCs w:val="21"/>
          <w:u w:val="single"/>
        </w:rPr>
        <w:t>Resources Used in the Creation of this Document</w:t>
      </w:r>
    </w:p>
    <w:p w14:paraId="48A08B06" w14:textId="77777777" w:rsidR="00FE5D2D" w:rsidRDefault="00FE5D2D" w:rsidP="001D15E3">
      <w:pPr>
        <w:rPr>
          <w:rFonts w:asciiTheme="majorHAnsi" w:hAnsiTheme="majorHAnsi" w:cstheme="majorHAnsi"/>
          <w:sz w:val="21"/>
          <w:szCs w:val="21"/>
        </w:rPr>
      </w:pPr>
    </w:p>
    <w:p w14:paraId="5644FEC5" w14:textId="28E7D9D1" w:rsidR="001D15E3" w:rsidRPr="004D0BDA" w:rsidRDefault="001D15E3" w:rsidP="001D15E3">
      <w:pPr>
        <w:rPr>
          <w:rFonts w:asciiTheme="majorHAnsi" w:hAnsiTheme="majorHAnsi" w:cstheme="majorHAnsi"/>
          <w:i/>
          <w:iCs/>
          <w:sz w:val="21"/>
          <w:szCs w:val="21"/>
        </w:rPr>
      </w:pPr>
      <w:r w:rsidRPr="004D0BDA">
        <w:rPr>
          <w:rFonts w:asciiTheme="majorHAnsi" w:hAnsiTheme="majorHAnsi" w:cstheme="majorHAnsi"/>
          <w:i/>
          <w:iCs/>
          <w:sz w:val="21"/>
          <w:szCs w:val="21"/>
        </w:rPr>
        <w:t>British Society of Gastroenterology Inflammatory Bowel Disease section and IBD Clinical Research Group position statement on SARS-</w:t>
      </w:r>
      <w:proofErr w:type="spellStart"/>
      <w:r w:rsidRPr="004D0BDA">
        <w:rPr>
          <w:rFonts w:asciiTheme="majorHAnsi" w:hAnsiTheme="majorHAnsi" w:cstheme="majorHAnsi"/>
          <w:i/>
          <w:iCs/>
          <w:sz w:val="21"/>
          <w:szCs w:val="21"/>
        </w:rPr>
        <w:t>CoV</w:t>
      </w:r>
      <w:proofErr w:type="spellEnd"/>
      <w:r w:rsidRPr="004D0BDA">
        <w:rPr>
          <w:rFonts w:asciiTheme="majorHAnsi" w:hAnsiTheme="majorHAnsi" w:cstheme="majorHAnsi"/>
          <w:i/>
          <w:iCs/>
          <w:sz w:val="21"/>
          <w:szCs w:val="21"/>
        </w:rPr>
        <w:t xml:space="preserve"> 2 vaccination.</w:t>
      </w:r>
    </w:p>
    <w:p w14:paraId="619BE125" w14:textId="56AA1119" w:rsidR="00DE46B2" w:rsidRDefault="003D798A" w:rsidP="001D15E3">
      <w:pPr>
        <w:rPr>
          <w:rFonts w:asciiTheme="majorHAnsi" w:hAnsiTheme="majorHAnsi" w:cstheme="majorHAnsi"/>
          <w:sz w:val="21"/>
          <w:szCs w:val="21"/>
        </w:rPr>
      </w:pPr>
      <w:hyperlink r:id="rId8" w:history="1">
        <w:r w:rsidR="000953C8" w:rsidRPr="002C6E56">
          <w:rPr>
            <w:rStyle w:val="Hyperlink"/>
            <w:rFonts w:asciiTheme="majorHAnsi" w:hAnsiTheme="majorHAnsi" w:cstheme="majorHAnsi"/>
            <w:sz w:val="21"/>
            <w:szCs w:val="21"/>
          </w:rPr>
          <w:t>https://www.bsg.org.uk/wp-content/uploads/2021/01/British-Society-of-Gastroenterology-Inflammatory-Bowel-Disease-section-and-IBD-Clinical-Research-Group-position-statement-on-SARS-CoV2-Vaccination.pdf</w:t>
        </w:r>
      </w:hyperlink>
      <w:r w:rsidR="000953C8">
        <w:rPr>
          <w:rFonts w:asciiTheme="majorHAnsi" w:hAnsiTheme="majorHAnsi" w:cstheme="majorHAnsi"/>
          <w:sz w:val="21"/>
          <w:szCs w:val="21"/>
        </w:rPr>
        <w:t xml:space="preserve"> </w:t>
      </w:r>
    </w:p>
    <w:p w14:paraId="2FEEBB70" w14:textId="77777777" w:rsidR="001D15E3" w:rsidRDefault="001D15E3" w:rsidP="001D15E3">
      <w:pPr>
        <w:rPr>
          <w:rFonts w:asciiTheme="majorHAnsi" w:hAnsiTheme="majorHAnsi" w:cstheme="majorHAnsi"/>
          <w:sz w:val="21"/>
          <w:szCs w:val="21"/>
        </w:rPr>
      </w:pPr>
    </w:p>
    <w:p w14:paraId="3C18AA67" w14:textId="4C9498CC" w:rsidR="00FE5D2D" w:rsidRPr="000953C8" w:rsidRDefault="001D15E3" w:rsidP="001D15E3">
      <w:pPr>
        <w:rPr>
          <w:rFonts w:asciiTheme="majorHAnsi" w:hAnsiTheme="majorHAnsi" w:cstheme="majorHAnsi"/>
          <w:i/>
          <w:iCs/>
          <w:sz w:val="21"/>
          <w:szCs w:val="21"/>
        </w:rPr>
      </w:pPr>
      <w:r w:rsidRPr="004D0BDA">
        <w:rPr>
          <w:rFonts w:asciiTheme="majorHAnsi" w:hAnsiTheme="majorHAnsi" w:cstheme="majorHAnsi"/>
          <w:i/>
          <w:iCs/>
          <w:sz w:val="21"/>
          <w:szCs w:val="21"/>
        </w:rPr>
        <w:t>Crohn’s and Colitis NZ</w:t>
      </w:r>
      <w:r w:rsidR="000953C8">
        <w:rPr>
          <w:rFonts w:asciiTheme="majorHAnsi" w:hAnsiTheme="majorHAnsi" w:cstheme="majorHAnsi"/>
          <w:i/>
          <w:iCs/>
          <w:sz w:val="21"/>
          <w:szCs w:val="21"/>
        </w:rPr>
        <w:t xml:space="preserve"> </w:t>
      </w:r>
      <w:hyperlink r:id="rId9" w:history="1">
        <w:r w:rsidR="000953C8" w:rsidRPr="002C6E56">
          <w:rPr>
            <w:rStyle w:val="Hyperlink"/>
            <w:rFonts w:asciiTheme="majorHAnsi" w:hAnsiTheme="majorHAnsi" w:cstheme="majorHAnsi"/>
            <w:sz w:val="21"/>
            <w:szCs w:val="21"/>
          </w:rPr>
          <w:t>https://crohnsandcolitis.org.nz/COVID-19</w:t>
        </w:r>
      </w:hyperlink>
      <w:r w:rsidR="000953C8">
        <w:rPr>
          <w:rFonts w:asciiTheme="majorHAnsi" w:hAnsiTheme="majorHAnsi" w:cstheme="majorHAnsi"/>
          <w:sz w:val="21"/>
          <w:szCs w:val="21"/>
        </w:rPr>
        <w:t xml:space="preserve"> </w:t>
      </w:r>
    </w:p>
    <w:p w14:paraId="356BD252" w14:textId="77777777" w:rsidR="001D15E3" w:rsidRDefault="001D15E3" w:rsidP="001D15E3">
      <w:pPr>
        <w:rPr>
          <w:rFonts w:asciiTheme="majorHAnsi" w:hAnsiTheme="majorHAnsi" w:cstheme="majorHAnsi"/>
          <w:sz w:val="21"/>
          <w:szCs w:val="21"/>
        </w:rPr>
      </w:pPr>
    </w:p>
    <w:p w14:paraId="62CAFED1" w14:textId="61458869" w:rsidR="001D15E3" w:rsidRPr="009962DB" w:rsidRDefault="001D15E3" w:rsidP="005141A3">
      <w:pPr>
        <w:rPr>
          <w:rFonts w:asciiTheme="majorHAnsi" w:hAnsiTheme="majorHAnsi" w:cstheme="majorHAnsi"/>
          <w:sz w:val="21"/>
          <w:szCs w:val="21"/>
        </w:rPr>
      </w:pPr>
      <w:r w:rsidRPr="004D0BDA">
        <w:rPr>
          <w:rFonts w:asciiTheme="majorHAnsi" w:hAnsiTheme="majorHAnsi" w:cstheme="majorHAnsi"/>
          <w:i/>
          <w:iCs/>
          <w:sz w:val="21"/>
          <w:szCs w:val="21"/>
        </w:rPr>
        <w:t>Crohn’s and Colitis UK</w:t>
      </w:r>
      <w:r w:rsidR="000953C8">
        <w:rPr>
          <w:rFonts w:asciiTheme="majorHAnsi" w:hAnsiTheme="majorHAnsi" w:cstheme="majorHAnsi"/>
          <w:i/>
          <w:iCs/>
          <w:sz w:val="21"/>
          <w:szCs w:val="21"/>
        </w:rPr>
        <w:t xml:space="preserve"> </w:t>
      </w:r>
      <w:hyperlink r:id="rId10" w:history="1">
        <w:r w:rsidR="000953C8" w:rsidRPr="002C6E56">
          <w:rPr>
            <w:rStyle w:val="Hyperlink"/>
            <w:rFonts w:asciiTheme="majorHAnsi" w:hAnsiTheme="majorHAnsi" w:cstheme="majorHAnsi"/>
            <w:sz w:val="21"/>
            <w:szCs w:val="21"/>
          </w:rPr>
          <w:t>https://crohnsandcolitis.org.uk</w:t>
        </w:r>
      </w:hyperlink>
      <w:r w:rsidR="000953C8">
        <w:rPr>
          <w:rFonts w:asciiTheme="majorHAnsi" w:hAnsiTheme="majorHAnsi" w:cstheme="majorHAnsi"/>
          <w:sz w:val="21"/>
          <w:szCs w:val="21"/>
        </w:rPr>
        <w:t xml:space="preserve"> </w:t>
      </w:r>
    </w:p>
    <w:sectPr w:rsidR="001D15E3" w:rsidRPr="009962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45BC8"/>
    <w:multiLevelType w:val="hybridMultilevel"/>
    <w:tmpl w:val="80027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C5F6A"/>
    <w:multiLevelType w:val="hybridMultilevel"/>
    <w:tmpl w:val="03FEA3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44497625"/>
    <w:multiLevelType w:val="multilevel"/>
    <w:tmpl w:val="9442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115E70"/>
    <w:multiLevelType w:val="multilevel"/>
    <w:tmpl w:val="5190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BD797B"/>
    <w:multiLevelType w:val="hybridMultilevel"/>
    <w:tmpl w:val="73608A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6375E00"/>
    <w:multiLevelType w:val="hybridMultilevel"/>
    <w:tmpl w:val="F7AAE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F67095"/>
    <w:multiLevelType w:val="hybridMultilevel"/>
    <w:tmpl w:val="03FEA3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3C5"/>
    <w:rsid w:val="00002F9D"/>
    <w:rsid w:val="000063B8"/>
    <w:rsid w:val="00011D98"/>
    <w:rsid w:val="00016999"/>
    <w:rsid w:val="000206E2"/>
    <w:rsid w:val="00040A66"/>
    <w:rsid w:val="00040BEC"/>
    <w:rsid w:val="00064BBD"/>
    <w:rsid w:val="00081858"/>
    <w:rsid w:val="00082D6E"/>
    <w:rsid w:val="000866AA"/>
    <w:rsid w:val="00086CF9"/>
    <w:rsid w:val="000953C8"/>
    <w:rsid w:val="00095D15"/>
    <w:rsid w:val="000F6B51"/>
    <w:rsid w:val="001032AB"/>
    <w:rsid w:val="00103CF5"/>
    <w:rsid w:val="00106125"/>
    <w:rsid w:val="00114D28"/>
    <w:rsid w:val="00174A67"/>
    <w:rsid w:val="00187B07"/>
    <w:rsid w:val="00190F71"/>
    <w:rsid w:val="00193C8F"/>
    <w:rsid w:val="001963BE"/>
    <w:rsid w:val="001B2A69"/>
    <w:rsid w:val="001B5674"/>
    <w:rsid w:val="001C73BF"/>
    <w:rsid w:val="001D0E63"/>
    <w:rsid w:val="001D15E3"/>
    <w:rsid w:val="001D67C3"/>
    <w:rsid w:val="001E2D48"/>
    <w:rsid w:val="001F7F40"/>
    <w:rsid w:val="002100C6"/>
    <w:rsid w:val="00220582"/>
    <w:rsid w:val="00222B2E"/>
    <w:rsid w:val="00234FC6"/>
    <w:rsid w:val="00235957"/>
    <w:rsid w:val="00244DE1"/>
    <w:rsid w:val="0024767C"/>
    <w:rsid w:val="002514C1"/>
    <w:rsid w:val="0025774A"/>
    <w:rsid w:val="002656CC"/>
    <w:rsid w:val="002720FB"/>
    <w:rsid w:val="002753C5"/>
    <w:rsid w:val="00275B59"/>
    <w:rsid w:val="00291593"/>
    <w:rsid w:val="0029173C"/>
    <w:rsid w:val="00294FA5"/>
    <w:rsid w:val="002B3E6A"/>
    <w:rsid w:val="002B6021"/>
    <w:rsid w:val="002B6208"/>
    <w:rsid w:val="002D003A"/>
    <w:rsid w:val="002F0E6D"/>
    <w:rsid w:val="00303742"/>
    <w:rsid w:val="00305B53"/>
    <w:rsid w:val="0031325B"/>
    <w:rsid w:val="003333DF"/>
    <w:rsid w:val="003377E6"/>
    <w:rsid w:val="0034473F"/>
    <w:rsid w:val="003545C2"/>
    <w:rsid w:val="00356E18"/>
    <w:rsid w:val="00396CFC"/>
    <w:rsid w:val="0039742F"/>
    <w:rsid w:val="003A2030"/>
    <w:rsid w:val="003A4F41"/>
    <w:rsid w:val="003A5E65"/>
    <w:rsid w:val="003B18FB"/>
    <w:rsid w:val="003C19E5"/>
    <w:rsid w:val="003C3577"/>
    <w:rsid w:val="003D315D"/>
    <w:rsid w:val="003D721D"/>
    <w:rsid w:val="003D798A"/>
    <w:rsid w:val="003E1EDB"/>
    <w:rsid w:val="003E4CCF"/>
    <w:rsid w:val="003F0149"/>
    <w:rsid w:val="004154FB"/>
    <w:rsid w:val="004160EF"/>
    <w:rsid w:val="0042167D"/>
    <w:rsid w:val="004335A7"/>
    <w:rsid w:val="00443974"/>
    <w:rsid w:val="00454536"/>
    <w:rsid w:val="00470713"/>
    <w:rsid w:val="0047194A"/>
    <w:rsid w:val="00485717"/>
    <w:rsid w:val="00485D22"/>
    <w:rsid w:val="004971CD"/>
    <w:rsid w:val="004B77AC"/>
    <w:rsid w:val="004D0BDA"/>
    <w:rsid w:val="004D0E01"/>
    <w:rsid w:val="004E1452"/>
    <w:rsid w:val="004F0C32"/>
    <w:rsid w:val="00512665"/>
    <w:rsid w:val="005141A3"/>
    <w:rsid w:val="00515DC5"/>
    <w:rsid w:val="005254C2"/>
    <w:rsid w:val="00552C75"/>
    <w:rsid w:val="005605DF"/>
    <w:rsid w:val="005653C5"/>
    <w:rsid w:val="005A0600"/>
    <w:rsid w:val="005C2E10"/>
    <w:rsid w:val="005C41A7"/>
    <w:rsid w:val="005E25A6"/>
    <w:rsid w:val="005E6AFA"/>
    <w:rsid w:val="005F0270"/>
    <w:rsid w:val="005F7ED5"/>
    <w:rsid w:val="00602F62"/>
    <w:rsid w:val="006052E2"/>
    <w:rsid w:val="006146F3"/>
    <w:rsid w:val="006206F3"/>
    <w:rsid w:val="00640066"/>
    <w:rsid w:val="006422A5"/>
    <w:rsid w:val="0065506A"/>
    <w:rsid w:val="00662816"/>
    <w:rsid w:val="00663F94"/>
    <w:rsid w:val="00672E2C"/>
    <w:rsid w:val="006B1DA8"/>
    <w:rsid w:val="006B648E"/>
    <w:rsid w:val="006C39E5"/>
    <w:rsid w:val="006C60B4"/>
    <w:rsid w:val="006C7391"/>
    <w:rsid w:val="006D4F55"/>
    <w:rsid w:val="006E4F40"/>
    <w:rsid w:val="00702612"/>
    <w:rsid w:val="0073443F"/>
    <w:rsid w:val="0075161B"/>
    <w:rsid w:val="00753777"/>
    <w:rsid w:val="0076125F"/>
    <w:rsid w:val="00772CE4"/>
    <w:rsid w:val="007751BD"/>
    <w:rsid w:val="00776A1F"/>
    <w:rsid w:val="00777CBF"/>
    <w:rsid w:val="00781436"/>
    <w:rsid w:val="007850DE"/>
    <w:rsid w:val="0079225C"/>
    <w:rsid w:val="00797BD9"/>
    <w:rsid w:val="007B1819"/>
    <w:rsid w:val="007B1892"/>
    <w:rsid w:val="007C1344"/>
    <w:rsid w:val="007D6DB3"/>
    <w:rsid w:val="007F1DB0"/>
    <w:rsid w:val="007F4B06"/>
    <w:rsid w:val="007F7585"/>
    <w:rsid w:val="008114F5"/>
    <w:rsid w:val="00814236"/>
    <w:rsid w:val="008200AD"/>
    <w:rsid w:val="00822104"/>
    <w:rsid w:val="00831867"/>
    <w:rsid w:val="00835EF3"/>
    <w:rsid w:val="00880F79"/>
    <w:rsid w:val="00890289"/>
    <w:rsid w:val="0089633F"/>
    <w:rsid w:val="008A2BAC"/>
    <w:rsid w:val="008B2CD1"/>
    <w:rsid w:val="008B5A3D"/>
    <w:rsid w:val="008C2EEA"/>
    <w:rsid w:val="008C6A61"/>
    <w:rsid w:val="008D32C2"/>
    <w:rsid w:val="008D6B4E"/>
    <w:rsid w:val="008E22FB"/>
    <w:rsid w:val="00903DD4"/>
    <w:rsid w:val="00907CD2"/>
    <w:rsid w:val="0094041E"/>
    <w:rsid w:val="009424FE"/>
    <w:rsid w:val="00944629"/>
    <w:rsid w:val="00947637"/>
    <w:rsid w:val="00950C00"/>
    <w:rsid w:val="00951907"/>
    <w:rsid w:val="00952800"/>
    <w:rsid w:val="00961138"/>
    <w:rsid w:val="00961B34"/>
    <w:rsid w:val="0096271A"/>
    <w:rsid w:val="00965B7B"/>
    <w:rsid w:val="00966084"/>
    <w:rsid w:val="009745C4"/>
    <w:rsid w:val="00983006"/>
    <w:rsid w:val="00993D0E"/>
    <w:rsid w:val="009962DB"/>
    <w:rsid w:val="009D064D"/>
    <w:rsid w:val="009D75D2"/>
    <w:rsid w:val="009E4507"/>
    <w:rsid w:val="009E4E52"/>
    <w:rsid w:val="009E77B0"/>
    <w:rsid w:val="009F1F7A"/>
    <w:rsid w:val="00A16292"/>
    <w:rsid w:val="00A275E6"/>
    <w:rsid w:val="00A4498C"/>
    <w:rsid w:val="00A527CB"/>
    <w:rsid w:val="00A56421"/>
    <w:rsid w:val="00A72C91"/>
    <w:rsid w:val="00A773D2"/>
    <w:rsid w:val="00AA1C5E"/>
    <w:rsid w:val="00AA6AE9"/>
    <w:rsid w:val="00AA762A"/>
    <w:rsid w:val="00AB52AE"/>
    <w:rsid w:val="00AC1254"/>
    <w:rsid w:val="00AC22C4"/>
    <w:rsid w:val="00AD50F0"/>
    <w:rsid w:val="00AD59C7"/>
    <w:rsid w:val="00AE1E5C"/>
    <w:rsid w:val="00AE5B03"/>
    <w:rsid w:val="00AF22CA"/>
    <w:rsid w:val="00B05317"/>
    <w:rsid w:val="00B05744"/>
    <w:rsid w:val="00B107CF"/>
    <w:rsid w:val="00B10B2B"/>
    <w:rsid w:val="00B313CB"/>
    <w:rsid w:val="00B36232"/>
    <w:rsid w:val="00B36D2E"/>
    <w:rsid w:val="00B51901"/>
    <w:rsid w:val="00B607C1"/>
    <w:rsid w:val="00B67C43"/>
    <w:rsid w:val="00B745AD"/>
    <w:rsid w:val="00B9360F"/>
    <w:rsid w:val="00B948A0"/>
    <w:rsid w:val="00BC5096"/>
    <w:rsid w:val="00BC74F8"/>
    <w:rsid w:val="00BE31F4"/>
    <w:rsid w:val="00BE7232"/>
    <w:rsid w:val="00BF0441"/>
    <w:rsid w:val="00C16DC5"/>
    <w:rsid w:val="00C207DC"/>
    <w:rsid w:val="00C262A1"/>
    <w:rsid w:val="00C2654B"/>
    <w:rsid w:val="00C2685D"/>
    <w:rsid w:val="00C32BB0"/>
    <w:rsid w:val="00C37659"/>
    <w:rsid w:val="00C41D2E"/>
    <w:rsid w:val="00C42D52"/>
    <w:rsid w:val="00C53F8D"/>
    <w:rsid w:val="00C54802"/>
    <w:rsid w:val="00C56009"/>
    <w:rsid w:val="00C614CB"/>
    <w:rsid w:val="00C75D3C"/>
    <w:rsid w:val="00C77E01"/>
    <w:rsid w:val="00C8485B"/>
    <w:rsid w:val="00C878B6"/>
    <w:rsid w:val="00C87F9E"/>
    <w:rsid w:val="00C92809"/>
    <w:rsid w:val="00CB32E4"/>
    <w:rsid w:val="00CB75D0"/>
    <w:rsid w:val="00CC0C79"/>
    <w:rsid w:val="00CC3C37"/>
    <w:rsid w:val="00CD5180"/>
    <w:rsid w:val="00CE34D1"/>
    <w:rsid w:val="00CF162C"/>
    <w:rsid w:val="00CF1751"/>
    <w:rsid w:val="00D01C6A"/>
    <w:rsid w:val="00D10FD5"/>
    <w:rsid w:val="00D17CCD"/>
    <w:rsid w:val="00D31E60"/>
    <w:rsid w:val="00D341FC"/>
    <w:rsid w:val="00D373DD"/>
    <w:rsid w:val="00D4005F"/>
    <w:rsid w:val="00D42BD5"/>
    <w:rsid w:val="00D46EDF"/>
    <w:rsid w:val="00D47593"/>
    <w:rsid w:val="00D47A7E"/>
    <w:rsid w:val="00D5279C"/>
    <w:rsid w:val="00D5687B"/>
    <w:rsid w:val="00D659C0"/>
    <w:rsid w:val="00D7533E"/>
    <w:rsid w:val="00D81F2E"/>
    <w:rsid w:val="00D9054B"/>
    <w:rsid w:val="00D9292F"/>
    <w:rsid w:val="00D943F6"/>
    <w:rsid w:val="00DB1498"/>
    <w:rsid w:val="00DB7982"/>
    <w:rsid w:val="00DC132F"/>
    <w:rsid w:val="00DC23D5"/>
    <w:rsid w:val="00DD23A6"/>
    <w:rsid w:val="00DD48EA"/>
    <w:rsid w:val="00DE46B2"/>
    <w:rsid w:val="00E03547"/>
    <w:rsid w:val="00E27E51"/>
    <w:rsid w:val="00E40BA0"/>
    <w:rsid w:val="00E424FA"/>
    <w:rsid w:val="00E45883"/>
    <w:rsid w:val="00E577C6"/>
    <w:rsid w:val="00E74D76"/>
    <w:rsid w:val="00E951AE"/>
    <w:rsid w:val="00EA07C2"/>
    <w:rsid w:val="00EC7673"/>
    <w:rsid w:val="00EE42D6"/>
    <w:rsid w:val="00EE4AED"/>
    <w:rsid w:val="00EE6B4A"/>
    <w:rsid w:val="00EF0344"/>
    <w:rsid w:val="00EF16DB"/>
    <w:rsid w:val="00F01A17"/>
    <w:rsid w:val="00F11E34"/>
    <w:rsid w:val="00F14A53"/>
    <w:rsid w:val="00F160D2"/>
    <w:rsid w:val="00F16B4E"/>
    <w:rsid w:val="00F16CB8"/>
    <w:rsid w:val="00F21324"/>
    <w:rsid w:val="00F21C1D"/>
    <w:rsid w:val="00F462FA"/>
    <w:rsid w:val="00F53B5E"/>
    <w:rsid w:val="00F54C4D"/>
    <w:rsid w:val="00F57148"/>
    <w:rsid w:val="00F70019"/>
    <w:rsid w:val="00FD5962"/>
    <w:rsid w:val="00FE5D2D"/>
    <w:rsid w:val="00FF654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C74CA"/>
  <w15:chartTrackingRefBased/>
  <w15:docId w15:val="{E6331961-0FAA-4980-AC96-E5608190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3DF"/>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A56421"/>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A5642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3CF5"/>
    <w:rPr>
      <w:b/>
      <w:bCs/>
    </w:rPr>
  </w:style>
  <w:style w:type="paragraph" w:styleId="ListParagraph">
    <w:name w:val="List Paragraph"/>
    <w:basedOn w:val="Normal"/>
    <w:uiPriority w:val="34"/>
    <w:qFormat/>
    <w:rsid w:val="00C2685D"/>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AB52AE"/>
    <w:rPr>
      <w:color w:val="0000FF"/>
      <w:u w:val="single"/>
    </w:rPr>
  </w:style>
  <w:style w:type="character" w:customStyle="1" w:styleId="Heading2Char">
    <w:name w:val="Heading 2 Char"/>
    <w:basedOn w:val="DefaultParagraphFont"/>
    <w:link w:val="Heading2"/>
    <w:uiPriority w:val="9"/>
    <w:rsid w:val="00A5642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642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56421"/>
    <w:pPr>
      <w:spacing w:before="100" w:beforeAutospacing="1" w:after="100" w:afterAutospacing="1"/>
    </w:pPr>
  </w:style>
  <w:style w:type="character" w:styleId="UnresolvedMention">
    <w:name w:val="Unresolved Mention"/>
    <w:basedOn w:val="DefaultParagraphFont"/>
    <w:uiPriority w:val="99"/>
    <w:semiHidden/>
    <w:unhideWhenUsed/>
    <w:rsid w:val="00CF1751"/>
    <w:rPr>
      <w:color w:val="605E5C"/>
      <w:shd w:val="clear" w:color="auto" w:fill="E1DFDD"/>
    </w:rPr>
  </w:style>
  <w:style w:type="paragraph" w:styleId="Bibliography">
    <w:name w:val="Bibliography"/>
    <w:basedOn w:val="Normal"/>
    <w:next w:val="Normal"/>
    <w:uiPriority w:val="37"/>
    <w:unhideWhenUsed/>
    <w:rsid w:val="001032AB"/>
    <w:pPr>
      <w:tabs>
        <w:tab w:val="left" w:pos="380"/>
      </w:tabs>
      <w:spacing w:after="240"/>
      <w:ind w:left="384" w:hanging="384"/>
    </w:pPr>
  </w:style>
  <w:style w:type="paragraph" w:styleId="BalloonText">
    <w:name w:val="Balloon Text"/>
    <w:basedOn w:val="Normal"/>
    <w:link w:val="BalloonTextChar"/>
    <w:uiPriority w:val="99"/>
    <w:semiHidden/>
    <w:unhideWhenUsed/>
    <w:rsid w:val="00E40BA0"/>
    <w:rPr>
      <w:sz w:val="18"/>
      <w:szCs w:val="18"/>
    </w:rPr>
  </w:style>
  <w:style w:type="character" w:customStyle="1" w:styleId="BalloonTextChar">
    <w:name w:val="Balloon Text Char"/>
    <w:basedOn w:val="DefaultParagraphFont"/>
    <w:link w:val="BalloonText"/>
    <w:uiPriority w:val="99"/>
    <w:semiHidden/>
    <w:rsid w:val="00E40BA0"/>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619071">
      <w:bodyDiv w:val="1"/>
      <w:marLeft w:val="0"/>
      <w:marRight w:val="0"/>
      <w:marTop w:val="0"/>
      <w:marBottom w:val="0"/>
      <w:divBdr>
        <w:top w:val="none" w:sz="0" w:space="0" w:color="auto"/>
        <w:left w:val="none" w:sz="0" w:space="0" w:color="auto"/>
        <w:bottom w:val="none" w:sz="0" w:space="0" w:color="auto"/>
        <w:right w:val="none" w:sz="0" w:space="0" w:color="auto"/>
      </w:divBdr>
    </w:div>
    <w:div w:id="281229371">
      <w:bodyDiv w:val="1"/>
      <w:marLeft w:val="0"/>
      <w:marRight w:val="0"/>
      <w:marTop w:val="0"/>
      <w:marBottom w:val="0"/>
      <w:divBdr>
        <w:top w:val="none" w:sz="0" w:space="0" w:color="auto"/>
        <w:left w:val="none" w:sz="0" w:space="0" w:color="auto"/>
        <w:bottom w:val="none" w:sz="0" w:space="0" w:color="auto"/>
        <w:right w:val="none" w:sz="0" w:space="0" w:color="auto"/>
      </w:divBdr>
      <w:divsChild>
        <w:div w:id="2086799033">
          <w:marLeft w:val="0"/>
          <w:marRight w:val="0"/>
          <w:marTop w:val="0"/>
          <w:marBottom w:val="0"/>
          <w:divBdr>
            <w:top w:val="none" w:sz="0" w:space="0" w:color="auto"/>
            <w:left w:val="none" w:sz="0" w:space="0" w:color="auto"/>
            <w:bottom w:val="none" w:sz="0" w:space="0" w:color="auto"/>
            <w:right w:val="none" w:sz="0" w:space="0" w:color="auto"/>
          </w:divBdr>
        </w:div>
        <w:div w:id="1958219823">
          <w:marLeft w:val="0"/>
          <w:marRight w:val="0"/>
          <w:marTop w:val="0"/>
          <w:marBottom w:val="0"/>
          <w:divBdr>
            <w:top w:val="none" w:sz="0" w:space="0" w:color="auto"/>
            <w:left w:val="none" w:sz="0" w:space="0" w:color="auto"/>
            <w:bottom w:val="none" w:sz="0" w:space="0" w:color="auto"/>
            <w:right w:val="none" w:sz="0" w:space="0" w:color="auto"/>
          </w:divBdr>
        </w:div>
        <w:div w:id="2052683338">
          <w:marLeft w:val="0"/>
          <w:marRight w:val="0"/>
          <w:marTop w:val="0"/>
          <w:marBottom w:val="0"/>
          <w:divBdr>
            <w:top w:val="none" w:sz="0" w:space="0" w:color="auto"/>
            <w:left w:val="none" w:sz="0" w:space="0" w:color="auto"/>
            <w:bottom w:val="none" w:sz="0" w:space="0" w:color="auto"/>
            <w:right w:val="none" w:sz="0" w:space="0" w:color="auto"/>
          </w:divBdr>
        </w:div>
      </w:divsChild>
    </w:div>
    <w:div w:id="450631277">
      <w:bodyDiv w:val="1"/>
      <w:marLeft w:val="0"/>
      <w:marRight w:val="0"/>
      <w:marTop w:val="0"/>
      <w:marBottom w:val="0"/>
      <w:divBdr>
        <w:top w:val="none" w:sz="0" w:space="0" w:color="auto"/>
        <w:left w:val="none" w:sz="0" w:space="0" w:color="auto"/>
        <w:bottom w:val="none" w:sz="0" w:space="0" w:color="auto"/>
        <w:right w:val="none" w:sz="0" w:space="0" w:color="auto"/>
      </w:divBdr>
    </w:div>
    <w:div w:id="673455175">
      <w:bodyDiv w:val="1"/>
      <w:marLeft w:val="0"/>
      <w:marRight w:val="0"/>
      <w:marTop w:val="0"/>
      <w:marBottom w:val="0"/>
      <w:divBdr>
        <w:top w:val="none" w:sz="0" w:space="0" w:color="auto"/>
        <w:left w:val="none" w:sz="0" w:space="0" w:color="auto"/>
        <w:bottom w:val="none" w:sz="0" w:space="0" w:color="auto"/>
        <w:right w:val="none" w:sz="0" w:space="0" w:color="auto"/>
      </w:divBdr>
    </w:div>
    <w:div w:id="917444215">
      <w:bodyDiv w:val="1"/>
      <w:marLeft w:val="0"/>
      <w:marRight w:val="0"/>
      <w:marTop w:val="0"/>
      <w:marBottom w:val="0"/>
      <w:divBdr>
        <w:top w:val="none" w:sz="0" w:space="0" w:color="auto"/>
        <w:left w:val="none" w:sz="0" w:space="0" w:color="auto"/>
        <w:bottom w:val="none" w:sz="0" w:space="0" w:color="auto"/>
        <w:right w:val="none" w:sz="0" w:space="0" w:color="auto"/>
      </w:divBdr>
    </w:div>
    <w:div w:id="1333488195">
      <w:bodyDiv w:val="1"/>
      <w:marLeft w:val="0"/>
      <w:marRight w:val="0"/>
      <w:marTop w:val="0"/>
      <w:marBottom w:val="0"/>
      <w:divBdr>
        <w:top w:val="none" w:sz="0" w:space="0" w:color="auto"/>
        <w:left w:val="none" w:sz="0" w:space="0" w:color="auto"/>
        <w:bottom w:val="none" w:sz="0" w:space="0" w:color="auto"/>
        <w:right w:val="none" w:sz="0" w:space="0" w:color="auto"/>
      </w:divBdr>
    </w:div>
    <w:div w:id="1549142095">
      <w:bodyDiv w:val="1"/>
      <w:marLeft w:val="0"/>
      <w:marRight w:val="0"/>
      <w:marTop w:val="0"/>
      <w:marBottom w:val="0"/>
      <w:divBdr>
        <w:top w:val="none" w:sz="0" w:space="0" w:color="auto"/>
        <w:left w:val="none" w:sz="0" w:space="0" w:color="auto"/>
        <w:bottom w:val="none" w:sz="0" w:space="0" w:color="auto"/>
        <w:right w:val="none" w:sz="0" w:space="0" w:color="auto"/>
      </w:divBdr>
    </w:div>
    <w:div w:id="1669089057">
      <w:bodyDiv w:val="1"/>
      <w:marLeft w:val="0"/>
      <w:marRight w:val="0"/>
      <w:marTop w:val="0"/>
      <w:marBottom w:val="0"/>
      <w:divBdr>
        <w:top w:val="none" w:sz="0" w:space="0" w:color="auto"/>
        <w:left w:val="none" w:sz="0" w:space="0" w:color="auto"/>
        <w:bottom w:val="none" w:sz="0" w:space="0" w:color="auto"/>
        <w:right w:val="none" w:sz="0" w:space="0" w:color="auto"/>
      </w:divBdr>
    </w:div>
    <w:div w:id="1747455893">
      <w:bodyDiv w:val="1"/>
      <w:marLeft w:val="0"/>
      <w:marRight w:val="0"/>
      <w:marTop w:val="0"/>
      <w:marBottom w:val="0"/>
      <w:divBdr>
        <w:top w:val="none" w:sz="0" w:space="0" w:color="auto"/>
        <w:left w:val="none" w:sz="0" w:space="0" w:color="auto"/>
        <w:bottom w:val="none" w:sz="0" w:space="0" w:color="auto"/>
        <w:right w:val="none" w:sz="0" w:space="0" w:color="auto"/>
      </w:divBdr>
    </w:div>
    <w:div w:id="1766922889">
      <w:bodyDiv w:val="1"/>
      <w:marLeft w:val="0"/>
      <w:marRight w:val="0"/>
      <w:marTop w:val="0"/>
      <w:marBottom w:val="0"/>
      <w:divBdr>
        <w:top w:val="none" w:sz="0" w:space="0" w:color="auto"/>
        <w:left w:val="none" w:sz="0" w:space="0" w:color="auto"/>
        <w:bottom w:val="none" w:sz="0" w:space="0" w:color="auto"/>
        <w:right w:val="none" w:sz="0" w:space="0" w:color="auto"/>
      </w:divBdr>
    </w:div>
    <w:div w:id="1882863184">
      <w:bodyDiv w:val="1"/>
      <w:marLeft w:val="0"/>
      <w:marRight w:val="0"/>
      <w:marTop w:val="0"/>
      <w:marBottom w:val="0"/>
      <w:divBdr>
        <w:top w:val="none" w:sz="0" w:space="0" w:color="auto"/>
        <w:left w:val="none" w:sz="0" w:space="0" w:color="auto"/>
        <w:bottom w:val="none" w:sz="0" w:space="0" w:color="auto"/>
        <w:right w:val="none" w:sz="0" w:space="0" w:color="auto"/>
      </w:divBdr>
    </w:div>
    <w:div w:id="1981418721">
      <w:bodyDiv w:val="1"/>
      <w:marLeft w:val="0"/>
      <w:marRight w:val="0"/>
      <w:marTop w:val="0"/>
      <w:marBottom w:val="0"/>
      <w:divBdr>
        <w:top w:val="none" w:sz="0" w:space="0" w:color="auto"/>
        <w:left w:val="none" w:sz="0" w:space="0" w:color="auto"/>
        <w:bottom w:val="none" w:sz="0" w:space="0" w:color="auto"/>
        <w:right w:val="none" w:sz="0" w:space="0" w:color="auto"/>
      </w:divBdr>
    </w:div>
    <w:div w:id="2074739671">
      <w:bodyDiv w:val="1"/>
      <w:marLeft w:val="0"/>
      <w:marRight w:val="0"/>
      <w:marTop w:val="0"/>
      <w:marBottom w:val="0"/>
      <w:divBdr>
        <w:top w:val="none" w:sz="0" w:space="0" w:color="auto"/>
        <w:left w:val="none" w:sz="0" w:space="0" w:color="auto"/>
        <w:bottom w:val="none" w:sz="0" w:space="0" w:color="auto"/>
        <w:right w:val="none" w:sz="0" w:space="0" w:color="auto"/>
      </w:divBdr>
      <w:divsChild>
        <w:div w:id="359474375">
          <w:marLeft w:val="0"/>
          <w:marRight w:val="0"/>
          <w:marTop w:val="0"/>
          <w:marBottom w:val="0"/>
          <w:divBdr>
            <w:top w:val="none" w:sz="0" w:space="0" w:color="auto"/>
            <w:left w:val="none" w:sz="0" w:space="0" w:color="auto"/>
            <w:bottom w:val="none" w:sz="0" w:space="0" w:color="auto"/>
            <w:right w:val="none" w:sz="0" w:space="0" w:color="auto"/>
          </w:divBdr>
          <w:divsChild>
            <w:div w:id="367878111">
              <w:marLeft w:val="-225"/>
              <w:marRight w:val="-225"/>
              <w:marTop w:val="0"/>
              <w:marBottom w:val="0"/>
              <w:divBdr>
                <w:top w:val="none" w:sz="0" w:space="0" w:color="auto"/>
                <w:left w:val="none" w:sz="0" w:space="0" w:color="auto"/>
                <w:bottom w:val="none" w:sz="0" w:space="0" w:color="auto"/>
                <w:right w:val="none" w:sz="0" w:space="0" w:color="auto"/>
              </w:divBdr>
              <w:divsChild>
                <w:div w:id="1559248711">
                  <w:marLeft w:val="0"/>
                  <w:marRight w:val="0"/>
                  <w:marTop w:val="0"/>
                  <w:marBottom w:val="0"/>
                  <w:divBdr>
                    <w:top w:val="none" w:sz="0" w:space="0" w:color="auto"/>
                    <w:left w:val="none" w:sz="0" w:space="0" w:color="auto"/>
                    <w:bottom w:val="none" w:sz="0" w:space="0" w:color="auto"/>
                    <w:right w:val="none" w:sz="0" w:space="0" w:color="auto"/>
                  </w:divBdr>
                  <w:divsChild>
                    <w:div w:id="998536659">
                      <w:marLeft w:val="0"/>
                      <w:marRight w:val="0"/>
                      <w:marTop w:val="0"/>
                      <w:marBottom w:val="0"/>
                      <w:divBdr>
                        <w:top w:val="none" w:sz="0" w:space="0" w:color="auto"/>
                        <w:left w:val="none" w:sz="0" w:space="0" w:color="auto"/>
                        <w:bottom w:val="none" w:sz="0" w:space="0" w:color="auto"/>
                        <w:right w:val="none" w:sz="0" w:space="0" w:color="auto"/>
                      </w:divBdr>
                      <w:divsChild>
                        <w:div w:id="14235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2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sg.org.uk/wp-content/uploads/2021/01/British-Society-of-Gastroenterology-Inflammatory-Bowel-Disease-section-and-IBD-Clinical-Research-Group-position-statement-on-SARS-CoV2-Vaccination.pdf" TargetMode="External"/><Relationship Id="rId3" Type="http://schemas.openxmlformats.org/officeDocument/2006/relationships/settings" Target="settings.xml"/><Relationship Id="rId7" Type="http://schemas.openxmlformats.org/officeDocument/2006/relationships/hyperlink" Target="https://www.health.govt.nz/our-work/immunisation-handbook-2020/5-coronavirus-disease-covid-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crohnsandcolitis.org.uk" TargetMode="External"/><Relationship Id="rId4" Type="http://schemas.openxmlformats.org/officeDocument/2006/relationships/webSettings" Target="webSettings.xml"/><Relationship Id="rId9" Type="http://schemas.openxmlformats.org/officeDocument/2006/relationships/hyperlink" Target="https://crohnsandcolitis.org.nz/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4636</Words>
  <Characters>22254</Characters>
  <Application>Microsoft Office Word</Application>
  <DocSecurity>0</DocSecurity>
  <Lines>1390</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Benson-Pope</dc:creator>
  <cp:keywords/>
  <dc:description/>
  <cp:lastModifiedBy>Anna Pears</cp:lastModifiedBy>
  <cp:revision>4</cp:revision>
  <dcterms:created xsi:type="dcterms:W3CDTF">2021-02-24T01:32:00Z</dcterms:created>
  <dcterms:modified xsi:type="dcterms:W3CDTF">2021-03-08T22:14:00Z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zotero-version="5.0.95.3"&gt;&lt;session id="jd6SE9Mw"/&gt;&lt;style id="http://www.zotero.org/styles/vancouver" locale="en-US"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ies>
</file>